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AC" w:rsidRPr="009B11EE" w:rsidRDefault="00CD1AAC" w:rsidP="00E826AD">
      <w:pPr>
        <w:spacing w:after="0" w:line="360" w:lineRule="auto"/>
        <w:jc w:val="both"/>
        <w:rPr>
          <w:rFonts w:ascii="Palatino Linotype" w:hAnsi="Palatino Linotype" w:cs="Tahoma"/>
          <w:b/>
          <w:sz w:val="10"/>
          <w:szCs w:val="10"/>
        </w:rPr>
      </w:pPr>
    </w:p>
    <w:p w:rsidR="009E0861" w:rsidRPr="005C76C2" w:rsidRDefault="009E0861" w:rsidP="00E826AD">
      <w:pPr>
        <w:spacing w:after="0" w:line="360" w:lineRule="auto"/>
        <w:jc w:val="both"/>
        <w:rPr>
          <w:rFonts w:ascii="Palatino Linotype" w:hAnsi="Palatino Linotype" w:cs="Tahoma"/>
          <w:b/>
          <w:caps/>
        </w:rPr>
      </w:pPr>
      <w:r w:rsidRPr="0086155F">
        <w:rPr>
          <w:rFonts w:ascii="Palatino Linotype" w:hAnsi="Palatino Linotype" w:cs="Tahoma"/>
          <w:b/>
        </w:rPr>
        <w:t>VOTO PARTICULAR QUE FORMULA EL COMISIONAD</w:t>
      </w:r>
      <w:r w:rsidR="00CD1AAC">
        <w:rPr>
          <w:rFonts w:ascii="Palatino Linotype" w:hAnsi="Palatino Linotype" w:cs="Tahoma"/>
          <w:b/>
        </w:rPr>
        <w:t>O LUIS GUSTAVO PARRA NORIEGA, CON</w:t>
      </w:r>
      <w:r w:rsidRPr="0086155F">
        <w:rPr>
          <w:rFonts w:ascii="Palatino Linotype" w:hAnsi="Palatino Linotype" w:cs="Tahoma"/>
          <w:b/>
        </w:rPr>
        <w:t xml:space="preserve"> RELACIÓN </w:t>
      </w:r>
      <w:r w:rsidR="00CD1AAC">
        <w:rPr>
          <w:rFonts w:ascii="Palatino Linotype" w:hAnsi="Palatino Linotype" w:cs="Tahoma"/>
          <w:b/>
        </w:rPr>
        <w:t>A</w:t>
      </w:r>
      <w:r w:rsidRPr="0086155F">
        <w:rPr>
          <w:rFonts w:ascii="Palatino Linotype" w:hAnsi="Palatino Linotype" w:cs="Tahoma"/>
          <w:b/>
        </w:rPr>
        <w:t xml:space="preserve"> LA RESO</w:t>
      </w:r>
      <w:r w:rsidR="00D32C2C" w:rsidRPr="0086155F">
        <w:rPr>
          <w:rFonts w:ascii="Palatino Linotype" w:hAnsi="Palatino Linotype" w:cs="Tahoma"/>
          <w:b/>
        </w:rPr>
        <w:t>LUCIÓN DEL RECURSO DE REVISIÓN 0</w:t>
      </w:r>
      <w:r w:rsidR="00EF1351">
        <w:rPr>
          <w:rFonts w:ascii="Palatino Linotype" w:hAnsi="Palatino Linotype" w:cs="Tahoma"/>
          <w:b/>
        </w:rPr>
        <w:t>4103</w:t>
      </w:r>
      <w:r w:rsidRPr="0086155F">
        <w:rPr>
          <w:rFonts w:ascii="Palatino Linotype" w:hAnsi="Palatino Linotype" w:cs="Tahoma"/>
          <w:b/>
        </w:rPr>
        <w:t xml:space="preserve">/INFOEM/IP/RR/2018, PROMOVIDO EN CONTRA </w:t>
      </w:r>
      <w:r w:rsidR="00344C41">
        <w:rPr>
          <w:rFonts w:ascii="Palatino Linotype" w:hAnsi="Palatino Linotype" w:cs="Tahoma"/>
          <w:b/>
        </w:rPr>
        <w:t xml:space="preserve">DEL AYUNTAMIENTO DE </w:t>
      </w:r>
      <w:r w:rsidR="00BB32B6">
        <w:rPr>
          <w:rFonts w:ascii="Palatino Linotype" w:hAnsi="Palatino Linotype" w:cs="Tahoma"/>
          <w:b/>
        </w:rPr>
        <w:t>TIANGUISTENCO</w:t>
      </w:r>
      <w:r w:rsidR="00344C41">
        <w:rPr>
          <w:rFonts w:ascii="Palatino Linotype" w:hAnsi="Palatino Linotype" w:cs="Tahoma"/>
          <w:b/>
        </w:rPr>
        <w:t>.</w:t>
      </w:r>
    </w:p>
    <w:p w:rsidR="00500949" w:rsidRPr="0086155F" w:rsidRDefault="00500949"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155F">
        <w:rPr>
          <w:rFonts w:ascii="Palatino Linotype" w:hAnsi="Palatino Linotype" w:cs="Tahoma"/>
          <w:b/>
        </w:rPr>
        <w:t>Voto Particular</w:t>
      </w:r>
      <w:r w:rsidRPr="0086155F">
        <w:rPr>
          <w:rFonts w:ascii="Palatino Linotype" w:hAnsi="Palatino Linotype" w:cs="Tahoma"/>
        </w:rPr>
        <w:t xml:space="preserve"> por no compartir en su totalidad las consideraciones que sustentan la Resolución del Recurso de Revisión </w:t>
      </w:r>
      <w:r w:rsidR="00D50D8F" w:rsidRPr="0086155F">
        <w:rPr>
          <w:rFonts w:ascii="Palatino Linotype" w:hAnsi="Palatino Linotype" w:cs="Tahoma"/>
        </w:rPr>
        <w:t>0</w:t>
      </w:r>
      <w:r w:rsidR="00EF1351">
        <w:rPr>
          <w:rFonts w:ascii="Palatino Linotype" w:hAnsi="Palatino Linotype" w:cs="Tahoma"/>
        </w:rPr>
        <w:t>4103</w:t>
      </w:r>
      <w:r w:rsidR="00D50D8F" w:rsidRPr="0086155F">
        <w:rPr>
          <w:rFonts w:ascii="Palatino Linotype" w:hAnsi="Palatino Linotype" w:cs="Tahoma"/>
        </w:rPr>
        <w:t>/INFOEM/IP/RR/2018</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845B4" w:rsidRDefault="00EA7E26" w:rsidP="00E826AD">
      <w:pPr>
        <w:spacing w:after="0" w:line="360" w:lineRule="auto"/>
        <w:jc w:val="both"/>
        <w:rPr>
          <w:rFonts w:ascii="Palatino Linotype" w:hAnsi="Palatino Linotype" w:cs="Tahoma"/>
        </w:rPr>
      </w:pPr>
      <w:r w:rsidRPr="0086155F">
        <w:rPr>
          <w:rFonts w:ascii="Palatino Linotype" w:hAnsi="Palatino Linotype" w:cs="Tahoma"/>
        </w:rPr>
        <w:t>C</w:t>
      </w:r>
      <w:r w:rsidR="009E0861" w:rsidRPr="0086155F">
        <w:rPr>
          <w:rFonts w:ascii="Palatino Linotype" w:hAnsi="Palatino Linotype" w:cs="Tahoma"/>
        </w:rPr>
        <w:t xml:space="preserve">omo se desprende de la resolución </w:t>
      </w:r>
      <w:r w:rsidRPr="0086155F">
        <w:rPr>
          <w:rFonts w:ascii="Palatino Linotype" w:hAnsi="Palatino Linotype" w:cs="Tahoma"/>
        </w:rPr>
        <w:t>que nos ocupa</w:t>
      </w:r>
      <w:r w:rsidR="009E0861" w:rsidRPr="0086155F">
        <w:rPr>
          <w:rFonts w:ascii="Palatino Linotype" w:hAnsi="Palatino Linotype" w:cs="Tahoma"/>
        </w:rPr>
        <w:t>, el solicitante, requirió</w:t>
      </w:r>
      <w:r w:rsidR="009845B4">
        <w:rPr>
          <w:rFonts w:ascii="Palatino Linotype" w:hAnsi="Palatino Linotype" w:cs="Tahoma"/>
        </w:rPr>
        <w:t xml:space="preserve"> lo siguiente:</w:t>
      </w:r>
    </w:p>
    <w:p w:rsidR="002C5579" w:rsidRDefault="002C5579" w:rsidP="00E826AD">
      <w:pPr>
        <w:spacing w:after="0" w:line="360" w:lineRule="auto"/>
        <w:jc w:val="both"/>
        <w:rPr>
          <w:rFonts w:ascii="Palatino Linotype" w:hAnsi="Palatino Linotype" w:cs="Tahoma"/>
        </w:rPr>
      </w:pPr>
    </w:p>
    <w:p w:rsidR="0072297A" w:rsidRPr="002C5579" w:rsidRDefault="002C5579" w:rsidP="00B06423">
      <w:pPr>
        <w:spacing w:after="0" w:line="360" w:lineRule="auto"/>
        <w:ind w:firstLine="567"/>
        <w:jc w:val="both"/>
        <w:rPr>
          <w:rFonts w:ascii="Palatino Linotype" w:hAnsi="Palatino Linotype" w:cs="Tahoma"/>
          <w:b/>
          <w:sz w:val="20"/>
        </w:rPr>
      </w:pPr>
      <w:r w:rsidRPr="002C5579">
        <w:rPr>
          <w:rFonts w:ascii="Palatino Linotype" w:hAnsi="Palatino Linotype" w:cs="Tahoma"/>
          <w:b/>
          <w:sz w:val="20"/>
        </w:rPr>
        <w:t xml:space="preserve">Solicitud </w:t>
      </w:r>
      <w:r w:rsidR="0023224C" w:rsidRPr="0023224C">
        <w:rPr>
          <w:rFonts w:ascii="Palatino Linotype" w:hAnsi="Palatino Linotype" w:cs="Tahoma"/>
          <w:b/>
          <w:sz w:val="20"/>
        </w:rPr>
        <w:t>00497/NAUCALPA/IP/2018</w:t>
      </w:r>
    </w:p>
    <w:p w:rsidR="0059399E" w:rsidRPr="0059399E" w:rsidRDefault="0059399E" w:rsidP="00B06423">
      <w:pPr>
        <w:spacing w:after="0" w:line="360" w:lineRule="auto"/>
        <w:ind w:left="567" w:right="567"/>
        <w:jc w:val="both"/>
        <w:rPr>
          <w:rFonts w:ascii="Palatino Linotype" w:hAnsi="Palatino Linotype" w:cs="Tahoma"/>
          <w:sz w:val="20"/>
          <w:szCs w:val="20"/>
        </w:rPr>
      </w:pPr>
      <w:r w:rsidRPr="0059399E">
        <w:rPr>
          <w:rFonts w:ascii="Palatino Linotype" w:hAnsi="Palatino Linotype" w:cs="Tahoma"/>
          <w:sz w:val="20"/>
          <w:szCs w:val="20"/>
        </w:rPr>
        <w:t>“… d</w:t>
      </w:r>
      <w:r w:rsidR="00F42641" w:rsidRPr="0059399E">
        <w:rPr>
          <w:rFonts w:ascii="Palatino Linotype" w:hAnsi="Palatino Linotype" w:cs="Tahoma"/>
          <w:sz w:val="20"/>
          <w:szCs w:val="20"/>
        </w:rPr>
        <w:t xml:space="preserve">ocumento </w:t>
      </w:r>
      <w:r w:rsidRPr="0059399E">
        <w:rPr>
          <w:rFonts w:ascii="Palatino Linotype" w:hAnsi="Palatino Linotype" w:cs="Tahoma"/>
          <w:sz w:val="20"/>
          <w:szCs w:val="20"/>
        </w:rPr>
        <w:t>o documentos donde conste:</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La orden y reporte dado de la policía municipal que ha acudido al tianguis del trueque del 15 de julio a la fecha de presentación de esta solicitud de información pública.</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Las solicitudes de apoyo que ha realizado el ayuntamiento para que se presentará la policía estatal en el lugar conocido como tianguis del Trueque en el periodo comprendido del 15 de julio a la fecha de presentación.</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lastRenderedPageBreak/>
        <w:t>Las acciones realizadas durante la presente administración municipal relativas a la regulación de tianguis del Trueque</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Credenciales de las personas a quienes se ha expedido credencial en calidad de truequero o truequera durante la presente administración municipal.</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Aviso, informe, constancia, acta o cualquier otro donde conste la votación que realizaron los truequeros en la elección del Consejo Municipal Indígena del Trueque.</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Documento expedido donde se reconoce de manera oficial por parte del Ayuntamiento como miembros del Consejo Municipal Indígena del Trueque a: José Antonio Alonso Escalante, como presidente; a la señora María Teresa Vázquez Martínez, en calidad de secretaria; y la señora María de Jesús Guadalupe Huanosta como tesorera.</w:t>
      </w:r>
    </w:p>
    <w:p w:rsidR="0059399E"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Fotografías, informes, reportes o cualquier otro generado, administrado o con el que cuente el Ayuntamiento que contenga información con relación al evento público realizado el día 26 de septiembre de 2017 en el que se acreditó a los integrantes del Consejo Indígena del Trueque y en el cual participó el diputado Raymundo Garza Vilchis.</w:t>
      </w:r>
    </w:p>
    <w:p w:rsidR="002C5579" w:rsidRPr="0059399E" w:rsidRDefault="0059399E" w:rsidP="00B06423">
      <w:pPr>
        <w:pStyle w:val="Prrafodelista"/>
        <w:numPr>
          <w:ilvl w:val="0"/>
          <w:numId w:val="17"/>
        </w:numPr>
        <w:spacing w:line="360" w:lineRule="auto"/>
        <w:ind w:left="851" w:right="567" w:hanging="284"/>
        <w:jc w:val="both"/>
        <w:rPr>
          <w:rFonts w:ascii="Palatino Linotype" w:hAnsi="Palatino Linotype"/>
          <w:sz w:val="20"/>
          <w:szCs w:val="20"/>
        </w:rPr>
      </w:pPr>
      <w:r w:rsidRPr="0059399E">
        <w:rPr>
          <w:rFonts w:ascii="Palatino Linotype" w:hAnsi="Palatino Linotype"/>
          <w:sz w:val="20"/>
          <w:szCs w:val="20"/>
        </w:rPr>
        <w:t>Los montos, criterios, convocatorias y listado de personas físicas o morales a quienes se les asignaron despensas en acto público el día 26 de septiembre de 2017, en términos del artículo 70, fracción  XXVI de la Ley General y en donde estuvo presente el diputado Raymundo Garza Vilchis.</w:t>
      </w:r>
      <w:r w:rsidR="00786EA0" w:rsidRPr="0059399E">
        <w:rPr>
          <w:rFonts w:ascii="Palatino Linotype" w:hAnsi="Palatino Linotype" w:cs="Tahoma"/>
          <w:i/>
          <w:sz w:val="20"/>
          <w:szCs w:val="20"/>
        </w:rPr>
        <w:t xml:space="preserve">” </w:t>
      </w:r>
      <w:r w:rsidR="009845B4" w:rsidRPr="0059399E">
        <w:rPr>
          <w:rFonts w:ascii="Palatino Linotype" w:hAnsi="Palatino Linotype" w:cs="Tahoma"/>
          <w:i/>
          <w:sz w:val="20"/>
          <w:szCs w:val="20"/>
        </w:rPr>
        <w:t>(Sic).</w:t>
      </w:r>
    </w:p>
    <w:p w:rsidR="00FD4FD6" w:rsidRDefault="00FD4FD6" w:rsidP="002C5579">
      <w:pPr>
        <w:spacing w:after="0" w:line="360" w:lineRule="auto"/>
        <w:ind w:firstLine="567"/>
        <w:jc w:val="both"/>
        <w:rPr>
          <w:rFonts w:ascii="Palatino Linotype" w:hAnsi="Palatino Linotype" w:cs="Tahoma"/>
          <w:b/>
          <w:sz w:val="20"/>
          <w:szCs w:val="20"/>
        </w:rPr>
      </w:pPr>
    </w:p>
    <w:p w:rsidR="007954A5" w:rsidRDefault="009845B4" w:rsidP="00B06423">
      <w:pPr>
        <w:spacing w:after="0" w:line="360" w:lineRule="auto"/>
        <w:jc w:val="both"/>
        <w:rPr>
          <w:rFonts w:ascii="Palatino Linotype" w:hAnsi="Palatino Linotype" w:cs="Tahoma"/>
        </w:rPr>
      </w:pPr>
      <w:r>
        <w:rPr>
          <w:rFonts w:ascii="Palatino Linotype" w:hAnsi="Palatino Linotype" w:cs="Tahoma"/>
        </w:rPr>
        <w:t>Sobre el particular destaca que</w:t>
      </w:r>
      <w:r w:rsidR="00B06423">
        <w:rPr>
          <w:rFonts w:ascii="Palatino Linotype" w:hAnsi="Palatino Linotype" w:cs="Tahoma"/>
        </w:rPr>
        <w:t xml:space="preserve"> de la información proporcionada por</w:t>
      </w:r>
      <w:r>
        <w:rPr>
          <w:rFonts w:ascii="Palatino Linotype" w:hAnsi="Palatino Linotype" w:cs="Tahoma"/>
        </w:rPr>
        <w:t xml:space="preserve"> el Sujeto Obligado </w:t>
      </w:r>
      <w:r w:rsidR="00B06423">
        <w:rPr>
          <w:rFonts w:ascii="Palatino Linotype" w:hAnsi="Palatino Linotype" w:cs="Tahoma"/>
        </w:rPr>
        <w:t xml:space="preserve"> en su respuesta, el Recurrente, únicamente se inconforma por cuanto hace a los documentos requeridos en los numerales 1, 3, 4 y 7. </w:t>
      </w:r>
    </w:p>
    <w:p w:rsidR="00146A7E" w:rsidRDefault="00146A7E" w:rsidP="00B06423">
      <w:pPr>
        <w:spacing w:after="0" w:line="360" w:lineRule="auto"/>
        <w:jc w:val="both"/>
        <w:rPr>
          <w:rFonts w:ascii="Palatino Linotype" w:hAnsi="Palatino Linotype" w:cs="Tahoma"/>
        </w:rPr>
      </w:pPr>
    </w:p>
    <w:p w:rsidR="00146A7E" w:rsidRDefault="00146A7E" w:rsidP="00B06423">
      <w:pPr>
        <w:spacing w:after="0" w:line="360" w:lineRule="auto"/>
        <w:jc w:val="both"/>
        <w:rPr>
          <w:rFonts w:ascii="Palatino Linotype" w:hAnsi="Palatino Linotype" w:cs="Tahoma"/>
        </w:rPr>
      </w:pPr>
      <w:r>
        <w:rPr>
          <w:rFonts w:ascii="Palatino Linotype" w:hAnsi="Palatino Linotype" w:cs="Tahoma"/>
        </w:rPr>
        <w:t>Sin embargo, se aborda e</w:t>
      </w:r>
      <w:r w:rsidR="00E93689">
        <w:rPr>
          <w:rFonts w:ascii="Palatino Linotype" w:hAnsi="Palatino Linotype" w:cs="Tahoma"/>
        </w:rPr>
        <w:t>l</w:t>
      </w:r>
      <w:r>
        <w:rPr>
          <w:rFonts w:ascii="Palatino Linotype" w:hAnsi="Palatino Linotype" w:cs="Tahoma"/>
        </w:rPr>
        <w:t xml:space="preserve"> análisis </w:t>
      </w:r>
      <w:r w:rsidR="00E93689">
        <w:rPr>
          <w:rFonts w:ascii="Palatino Linotype" w:hAnsi="Palatino Linotype" w:cs="Tahoma"/>
        </w:rPr>
        <w:t>de la solicitud íntegra y en la Resolución se determina ordenar la entrega  de:</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lastRenderedPageBreak/>
        <w:t>El parte de novedades de los operativos realizados en el tianguis del trueque del quince (15) de julio al veinticinco (25) de septiembre de dos mil dieciocho.</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t xml:space="preserve">Los documentos donde consten las </w:t>
      </w:r>
      <w:r w:rsidRPr="00E93689">
        <w:rPr>
          <w:rFonts w:ascii="Palatino Linotype" w:hAnsi="Palatino Linotype" w:cs="Tahoma"/>
          <w:sz w:val="20"/>
          <w:lang w:val="es-MX"/>
        </w:rPr>
        <w:t>solicitudes de apoyo que ha realizado el Ayuntamiento para que se presentará la policía estatal o municipal en el lugar conocido como Tianguis del Trueque</w:t>
      </w:r>
      <w:r w:rsidRPr="00E93689">
        <w:rPr>
          <w:rFonts w:ascii="Palatino Linotype" w:hAnsi="Palatino Linotype" w:cs="Tahoma"/>
          <w:sz w:val="20"/>
          <w:lang w:val="es-ES_tradnl"/>
        </w:rPr>
        <w:t xml:space="preserve"> </w:t>
      </w:r>
      <w:r w:rsidRPr="00E93689">
        <w:rPr>
          <w:rFonts w:ascii="Palatino Linotype" w:hAnsi="Palatino Linotype" w:cs="Tahoma"/>
          <w:sz w:val="20"/>
          <w:lang w:val="es-MX"/>
        </w:rPr>
        <w:t xml:space="preserve">del </w:t>
      </w:r>
      <w:r w:rsidRPr="00E93689">
        <w:rPr>
          <w:rFonts w:ascii="Palatino Linotype" w:hAnsi="Palatino Linotype" w:cs="Tahoma"/>
          <w:sz w:val="20"/>
          <w:lang w:val="es-ES_tradnl"/>
        </w:rPr>
        <w:t>quince (15) de julio al veinticinco (25) de septiembre de dos mil dieciocho.</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t>Los documentos donde consten las acciones realizadas durante la administración 2016-2018 relativas a la regulación de Tianguis del Trueque.</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t>Las credenciales expedidas a los comerciantes truequeros por el Ayuntamiento durante la administración 2016-2018.</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t>Los documentos donde conste la votación para nombrar al Consejo Municipal Indígena del Trueque del Municipio Tianguistenco, con la que se cuente antes del veinticinco (</w:t>
      </w:r>
      <w:r w:rsidRPr="00E93689">
        <w:rPr>
          <w:rFonts w:ascii="Palatino Linotype" w:hAnsi="Palatino Linotype" w:cs="Tahoma"/>
          <w:sz w:val="20"/>
          <w:lang w:val="es-MX"/>
        </w:rPr>
        <w:t xml:space="preserve">25) de septiembre de </w:t>
      </w:r>
      <w:r w:rsidRPr="00E93689">
        <w:rPr>
          <w:rFonts w:ascii="Palatino Linotype" w:hAnsi="Palatino Linotype" w:cs="Tahoma"/>
          <w:sz w:val="20"/>
          <w:lang w:val="es-ES_tradnl"/>
        </w:rPr>
        <w:t>de dos mil dieciocho</w:t>
      </w:r>
      <w:r w:rsidRPr="00E93689">
        <w:rPr>
          <w:rFonts w:ascii="Palatino Linotype" w:hAnsi="Palatino Linotype" w:cs="Tahoma"/>
          <w:sz w:val="20"/>
          <w:lang w:val="es-MX"/>
        </w:rPr>
        <w:t xml:space="preserve">. </w:t>
      </w:r>
      <w:r w:rsidRPr="00E93689">
        <w:rPr>
          <w:rFonts w:ascii="Palatino Linotype" w:hAnsi="Palatino Linotype" w:cs="Tahoma"/>
          <w:sz w:val="20"/>
          <w:lang w:val="es-ES_tradnl"/>
        </w:rPr>
        <w:t>De ser el caso de que el acta remitida por el Sujeto Obligado, sea la única y/o última generada, poseída o administrada y por lo tanto no cuente con otro documento, así deberá informarlo al solicitante.</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t>Los documentos en donde se advierta la acreditación de los integrantes del Consejo Municipal Indígena del Trueque del Municipio Tianguistenco, con la que se cuente antes del  veinticinco (</w:t>
      </w:r>
      <w:r w:rsidRPr="00E93689">
        <w:rPr>
          <w:rFonts w:ascii="Palatino Linotype" w:hAnsi="Palatino Linotype" w:cs="Tahoma"/>
          <w:sz w:val="20"/>
          <w:lang w:val="es-MX"/>
        </w:rPr>
        <w:t xml:space="preserve">25) de septiembre de </w:t>
      </w:r>
      <w:r w:rsidRPr="00E93689">
        <w:rPr>
          <w:rFonts w:ascii="Palatino Linotype" w:hAnsi="Palatino Linotype" w:cs="Tahoma"/>
          <w:sz w:val="20"/>
          <w:lang w:val="es-ES_tradnl"/>
        </w:rPr>
        <w:t>de dos mil dieciocho</w:t>
      </w:r>
      <w:r w:rsidRPr="00E93689">
        <w:rPr>
          <w:rFonts w:ascii="Palatino Linotype" w:hAnsi="Palatino Linotype" w:cs="Tahoma"/>
          <w:sz w:val="20"/>
          <w:lang w:val="es-MX"/>
        </w:rPr>
        <w:t>.</w:t>
      </w:r>
      <w:r w:rsidRPr="00E93689">
        <w:rPr>
          <w:rFonts w:ascii="Palatino Linotype" w:hAnsi="Palatino Linotype" w:cs="Tahoma"/>
          <w:sz w:val="20"/>
          <w:lang w:val="es-ES_tradnl"/>
        </w:rPr>
        <w:t xml:space="preserve"> </w:t>
      </w:r>
    </w:p>
    <w:p w:rsidR="00E93689" w:rsidRPr="00E93689" w:rsidRDefault="00E93689" w:rsidP="00E93689">
      <w:pPr>
        <w:numPr>
          <w:ilvl w:val="0"/>
          <w:numId w:val="18"/>
        </w:numPr>
        <w:spacing w:after="0" w:line="360" w:lineRule="auto"/>
        <w:ind w:left="851"/>
        <w:jc w:val="both"/>
        <w:rPr>
          <w:rFonts w:ascii="Palatino Linotype" w:hAnsi="Palatino Linotype" w:cs="Tahoma"/>
          <w:sz w:val="20"/>
          <w:lang w:val="es-ES_tradnl"/>
        </w:rPr>
      </w:pPr>
      <w:r w:rsidRPr="00E93689">
        <w:rPr>
          <w:rFonts w:ascii="Palatino Linotype" w:hAnsi="Palatino Linotype" w:cs="Tahoma"/>
          <w:sz w:val="20"/>
          <w:lang w:val="es-ES_tradnl"/>
        </w:rPr>
        <w:t>Los documentos donde se adviertan los montos, criterios, convocatorias y listado de las personas físicas o morales a quienes se les asignaron despensas por el periodo comprendido del veinticinco (25) de septiembre de dos mil diecisiete  al veinticinco (25)  de septiembre de dos mil dieciocho.</w:t>
      </w:r>
    </w:p>
    <w:p w:rsidR="00E93689" w:rsidRDefault="00E93689" w:rsidP="00B06423">
      <w:pPr>
        <w:spacing w:after="0" w:line="360" w:lineRule="auto"/>
        <w:jc w:val="both"/>
        <w:rPr>
          <w:rFonts w:ascii="Palatino Linotype" w:hAnsi="Palatino Linotype" w:cs="Tahoma"/>
        </w:rPr>
      </w:pPr>
    </w:p>
    <w:p w:rsidR="00E93689" w:rsidRDefault="003C53C5" w:rsidP="007954A5">
      <w:pPr>
        <w:spacing w:after="0" w:line="360" w:lineRule="auto"/>
        <w:jc w:val="both"/>
        <w:rPr>
          <w:rFonts w:ascii="Palatino Linotype" w:hAnsi="Palatino Linotype" w:cs="Tahoma"/>
        </w:rPr>
      </w:pPr>
      <w:r>
        <w:rPr>
          <w:rFonts w:ascii="Palatino Linotype" w:hAnsi="Palatino Linotype" w:cs="Tahoma"/>
        </w:rPr>
        <w:t>Al respecto</w:t>
      </w:r>
      <w:r w:rsidR="00BB33E4">
        <w:rPr>
          <w:rFonts w:ascii="Palatino Linotype" w:hAnsi="Palatino Linotype" w:cs="Tahoma"/>
        </w:rPr>
        <w:t xml:space="preserve">, </w:t>
      </w:r>
      <w:r w:rsidR="00E93689">
        <w:rPr>
          <w:rFonts w:ascii="Palatino Linotype" w:hAnsi="Palatino Linotype" w:cs="Tahoma"/>
        </w:rPr>
        <w:t xml:space="preserve">si bien se reconoce el análisis, argumentación y decisión adoptada en la </w:t>
      </w:r>
      <w:r w:rsidR="00CD1AAC">
        <w:rPr>
          <w:rFonts w:ascii="Palatino Linotype" w:hAnsi="Palatino Linotype" w:cs="Tahoma"/>
        </w:rPr>
        <w:t>R</w:t>
      </w:r>
      <w:r w:rsidR="00E93689">
        <w:rPr>
          <w:rFonts w:ascii="Palatino Linotype" w:hAnsi="Palatino Linotype" w:cs="Tahoma"/>
        </w:rPr>
        <w:t xml:space="preserve">esolución del </w:t>
      </w:r>
      <w:r w:rsidR="00CD1AAC">
        <w:rPr>
          <w:rFonts w:ascii="Palatino Linotype" w:hAnsi="Palatino Linotype" w:cs="Tahoma"/>
        </w:rPr>
        <w:t>R</w:t>
      </w:r>
      <w:r w:rsidR="00E93689">
        <w:rPr>
          <w:rFonts w:ascii="Palatino Linotype" w:hAnsi="Palatino Linotype" w:cs="Tahoma"/>
        </w:rPr>
        <w:t xml:space="preserve">ecurso de </w:t>
      </w:r>
      <w:r w:rsidR="00CD1AAC">
        <w:rPr>
          <w:rFonts w:ascii="Palatino Linotype" w:hAnsi="Palatino Linotype" w:cs="Tahoma"/>
        </w:rPr>
        <w:t>R</w:t>
      </w:r>
      <w:r w:rsidR="00E93689">
        <w:rPr>
          <w:rFonts w:ascii="Palatino Linotype" w:hAnsi="Palatino Linotype" w:cs="Tahoma"/>
        </w:rPr>
        <w:t xml:space="preserve">evisión al rubro citado, no se comparte en su totalidad el estudio </w:t>
      </w:r>
      <w:r w:rsidR="002615EE">
        <w:rPr>
          <w:rFonts w:ascii="Palatino Linotype" w:hAnsi="Palatino Linotype" w:cs="Tahoma"/>
        </w:rPr>
        <w:t>realizado y la decisión tomada con relación</w:t>
      </w:r>
      <w:r w:rsidR="00E93689">
        <w:rPr>
          <w:rFonts w:ascii="Palatino Linotype" w:hAnsi="Palatino Linotype" w:cs="Tahoma"/>
        </w:rPr>
        <w:t xml:space="preserve"> </w:t>
      </w:r>
      <w:r w:rsidR="002615EE">
        <w:rPr>
          <w:rFonts w:ascii="Palatino Linotype" w:hAnsi="Palatino Linotype" w:cs="Tahoma"/>
        </w:rPr>
        <w:t xml:space="preserve">al </w:t>
      </w:r>
      <w:r w:rsidR="002615EE" w:rsidRPr="002615EE">
        <w:rPr>
          <w:rFonts w:ascii="Palatino Linotype" w:hAnsi="Palatino Linotype" w:cs="Tahoma"/>
        </w:rPr>
        <w:t>parte de novedades de los operativos realizados</w:t>
      </w:r>
      <w:r w:rsidR="00E93689">
        <w:rPr>
          <w:rFonts w:ascii="Palatino Linotype" w:hAnsi="Palatino Linotype" w:cs="Tahoma"/>
        </w:rPr>
        <w:t xml:space="preserve">  </w:t>
      </w:r>
      <w:r w:rsidR="002615EE">
        <w:rPr>
          <w:rFonts w:ascii="Palatino Linotype" w:hAnsi="Palatino Linotype" w:cs="Tahoma"/>
        </w:rPr>
        <w:t xml:space="preserve">y </w:t>
      </w:r>
      <w:r w:rsidR="001B7BBD">
        <w:rPr>
          <w:rFonts w:ascii="Palatino Linotype" w:hAnsi="Palatino Linotype" w:cs="Tahoma"/>
        </w:rPr>
        <w:t xml:space="preserve">el periodo de búsqueda para la entrega de los </w:t>
      </w:r>
      <w:r w:rsidR="001B7BBD" w:rsidRPr="001B7BBD">
        <w:rPr>
          <w:rFonts w:ascii="Palatino Linotype" w:hAnsi="Palatino Linotype" w:cs="Tahoma"/>
        </w:rPr>
        <w:t xml:space="preserve">documentos en donde se advierta </w:t>
      </w:r>
      <w:r w:rsidR="001B7BBD" w:rsidRPr="001B7BBD">
        <w:rPr>
          <w:rFonts w:ascii="Palatino Linotype" w:hAnsi="Palatino Linotype" w:cs="Tahoma"/>
        </w:rPr>
        <w:lastRenderedPageBreak/>
        <w:t>la acreditación de los integrantes del Consejo Municipal Indígena del Trueque del Municipio Tianguistenco</w:t>
      </w:r>
      <w:r w:rsidR="002615EE">
        <w:rPr>
          <w:rFonts w:ascii="Palatino Linotype" w:hAnsi="Palatino Linotype" w:cs="Tahoma"/>
        </w:rPr>
        <w:t>; ello</w:t>
      </w:r>
      <w:r w:rsidR="001B7BBD">
        <w:rPr>
          <w:rFonts w:ascii="Palatino Linotype" w:hAnsi="Palatino Linotype" w:cs="Tahoma"/>
        </w:rPr>
        <w:t>,</w:t>
      </w:r>
      <w:r w:rsidR="002615EE">
        <w:rPr>
          <w:rFonts w:ascii="Palatino Linotype" w:hAnsi="Palatino Linotype" w:cs="Tahoma"/>
        </w:rPr>
        <w:t xml:space="preserve"> en virtud de lo siguiente:</w:t>
      </w:r>
    </w:p>
    <w:p w:rsidR="00E93689" w:rsidRDefault="00E93689" w:rsidP="007954A5">
      <w:pPr>
        <w:spacing w:after="0" w:line="360" w:lineRule="auto"/>
        <w:jc w:val="both"/>
        <w:rPr>
          <w:rFonts w:ascii="Palatino Linotype" w:hAnsi="Palatino Linotype" w:cs="Tahoma"/>
        </w:rPr>
      </w:pPr>
    </w:p>
    <w:p w:rsidR="00146A7E" w:rsidRDefault="002615EE" w:rsidP="007954A5">
      <w:pPr>
        <w:spacing w:after="0" w:line="360" w:lineRule="auto"/>
        <w:jc w:val="both"/>
        <w:rPr>
          <w:rFonts w:ascii="Palatino Linotype" w:hAnsi="Palatino Linotype" w:cs="Tahoma"/>
        </w:rPr>
      </w:pPr>
      <w:r>
        <w:rPr>
          <w:rFonts w:ascii="Palatino Linotype" w:hAnsi="Palatino Linotype" w:cs="Tahoma"/>
        </w:rPr>
        <w:t>Referente a los</w:t>
      </w:r>
      <w:r w:rsidR="00146A7E">
        <w:rPr>
          <w:rFonts w:ascii="Palatino Linotype" w:hAnsi="Palatino Linotype" w:cs="Tahoma"/>
        </w:rPr>
        <w:t xml:space="preserve"> reportes policiales, vía Informe Justificado el Sujeto Obligado hizo de conocimiento que </w:t>
      </w:r>
      <w:r w:rsidR="00146A7E" w:rsidRPr="00C53DFD">
        <w:rPr>
          <w:rFonts w:ascii="Palatino Linotype" w:hAnsi="Palatino Linotype" w:cs="Arial"/>
          <w:lang w:eastAsia="es-MX"/>
        </w:rPr>
        <w:t>se encuentran reservad</w:t>
      </w:r>
      <w:r w:rsidR="00CD1AAC">
        <w:rPr>
          <w:rFonts w:ascii="Palatino Linotype" w:hAnsi="Palatino Linotype" w:cs="Arial"/>
          <w:lang w:eastAsia="es-MX"/>
        </w:rPr>
        <w:t>os</w:t>
      </w:r>
      <w:r w:rsidR="00146A7E" w:rsidRPr="00C53DFD">
        <w:rPr>
          <w:rFonts w:ascii="Palatino Linotype" w:hAnsi="Palatino Linotype" w:cs="Arial"/>
          <w:lang w:eastAsia="es-MX"/>
        </w:rPr>
        <w:t xml:space="preserve"> de acuerdo</w:t>
      </w:r>
      <w:r w:rsidR="00CD1AAC">
        <w:rPr>
          <w:rFonts w:ascii="Palatino Linotype" w:hAnsi="Palatino Linotype" w:cs="Arial"/>
          <w:lang w:eastAsia="es-MX"/>
        </w:rPr>
        <w:t xml:space="preserve"> con</w:t>
      </w:r>
      <w:r w:rsidR="00146A7E" w:rsidRPr="00C53DFD">
        <w:rPr>
          <w:rFonts w:ascii="Palatino Linotype" w:hAnsi="Palatino Linotype" w:cs="Arial"/>
          <w:lang w:eastAsia="es-MX"/>
        </w:rPr>
        <w:t xml:space="preserve"> </w:t>
      </w:r>
      <w:r w:rsidR="00CD1AAC">
        <w:rPr>
          <w:rFonts w:ascii="Palatino Linotype" w:hAnsi="Palatino Linotype" w:cs="Arial"/>
          <w:lang w:eastAsia="es-MX"/>
        </w:rPr>
        <w:t>e</w:t>
      </w:r>
      <w:r w:rsidR="00146A7E" w:rsidRPr="00C53DFD">
        <w:rPr>
          <w:rFonts w:ascii="Palatino Linotype" w:hAnsi="Palatino Linotype" w:cs="Arial"/>
          <w:lang w:eastAsia="es-MX"/>
        </w:rPr>
        <w:t>l artículo 140 de Ley de Transparencia y Acceso a la Información Pública del Estado de México y Municipios, ya que en su moment</w:t>
      </w:r>
      <w:r w:rsidR="00CD1AAC">
        <w:rPr>
          <w:rFonts w:ascii="Palatino Linotype" w:hAnsi="Palatino Linotype" w:cs="Arial"/>
          <w:lang w:eastAsia="es-MX"/>
        </w:rPr>
        <w:t>o pueden causar daño a terceros;</w:t>
      </w:r>
      <w:r w:rsidR="00146A7E">
        <w:rPr>
          <w:rFonts w:ascii="Palatino Linotype" w:hAnsi="Palatino Linotype" w:cs="Arial"/>
          <w:lang w:eastAsia="es-MX"/>
        </w:rPr>
        <w:t xml:space="preserve"> sin embargo, </w:t>
      </w:r>
      <w:r w:rsidR="00146A7E">
        <w:rPr>
          <w:rFonts w:ascii="Palatino Linotype" w:hAnsi="Palatino Linotype"/>
        </w:rPr>
        <w:t>no remitió el respectivo A</w:t>
      </w:r>
      <w:r w:rsidR="00146A7E" w:rsidRPr="00C53DFD">
        <w:rPr>
          <w:rFonts w:ascii="Palatino Linotype" w:hAnsi="Palatino Linotype"/>
        </w:rPr>
        <w:t xml:space="preserve">cuerdo de clasificación emitido por su </w:t>
      </w:r>
      <w:r w:rsidR="00CD1AAC">
        <w:rPr>
          <w:rFonts w:ascii="Palatino Linotype" w:hAnsi="Palatino Linotype"/>
        </w:rPr>
        <w:t>C</w:t>
      </w:r>
      <w:r w:rsidR="00146A7E" w:rsidRPr="00C53DFD">
        <w:rPr>
          <w:rFonts w:ascii="Palatino Linotype" w:hAnsi="Palatino Linotype"/>
        </w:rPr>
        <w:t>omité de Transparencia</w:t>
      </w:r>
      <w:r w:rsidR="00146A7E">
        <w:rPr>
          <w:rFonts w:ascii="Palatino Linotype" w:hAnsi="Palatino Linotype"/>
        </w:rPr>
        <w:t>.</w:t>
      </w:r>
    </w:p>
    <w:p w:rsidR="00146A7E" w:rsidRDefault="00146A7E" w:rsidP="007954A5">
      <w:pPr>
        <w:spacing w:after="0" w:line="360" w:lineRule="auto"/>
        <w:jc w:val="both"/>
        <w:rPr>
          <w:rFonts w:ascii="Palatino Linotype" w:hAnsi="Palatino Linotype" w:cs="Tahoma"/>
        </w:rPr>
      </w:pPr>
    </w:p>
    <w:p w:rsidR="00146A7E" w:rsidRDefault="00146A7E" w:rsidP="007954A5">
      <w:pPr>
        <w:spacing w:after="0" w:line="360" w:lineRule="auto"/>
        <w:jc w:val="both"/>
        <w:rPr>
          <w:rFonts w:ascii="Palatino Linotype" w:hAnsi="Palatino Linotype"/>
        </w:rPr>
      </w:pPr>
      <w:r>
        <w:rPr>
          <w:rFonts w:ascii="Palatino Linotype" w:hAnsi="Palatino Linotype" w:cs="Tahoma"/>
        </w:rPr>
        <w:t xml:space="preserve">En el análisis y estudio de fondo, se cita la normatividad específica aplicable al Sujeto Obligado y se determina que </w:t>
      </w:r>
      <w:r w:rsidR="00CD5803">
        <w:rPr>
          <w:rFonts w:ascii="Palatino Linotype" w:hAnsi="Palatino Linotype"/>
        </w:rPr>
        <w:t>con fundamento en el artículo 138, fracción XII, de la Ley de Seguridad del Estado de México, el Ayuntamiento está obligado a emi</w:t>
      </w:r>
      <w:r>
        <w:rPr>
          <w:rFonts w:ascii="Palatino Linotype" w:hAnsi="Palatino Linotype"/>
        </w:rPr>
        <w:t xml:space="preserve">tir los partes policiales, asimismo, aborda el estudio de las definiciones correspondientes y de las funciones que, conforme al Manual de Organización aplicable, corresponden a la Dirección de Seguridad Pública del Sujeto Obligado. </w:t>
      </w:r>
    </w:p>
    <w:p w:rsidR="00146A7E" w:rsidRDefault="00146A7E" w:rsidP="007954A5">
      <w:pPr>
        <w:spacing w:after="0" w:line="360" w:lineRule="auto"/>
        <w:jc w:val="both"/>
        <w:rPr>
          <w:rFonts w:ascii="Palatino Linotype" w:hAnsi="Palatino Linotype"/>
        </w:rPr>
      </w:pPr>
    </w:p>
    <w:p w:rsidR="00CD5803" w:rsidRDefault="00146A7E" w:rsidP="007954A5">
      <w:pPr>
        <w:spacing w:after="0" w:line="360" w:lineRule="auto"/>
        <w:jc w:val="both"/>
        <w:rPr>
          <w:rFonts w:ascii="Palatino Linotype" w:eastAsia="Times New Roman" w:hAnsi="Palatino Linotype" w:cs="Times New Roman"/>
          <w:lang w:eastAsia="es-MX"/>
        </w:rPr>
      </w:pPr>
      <w:r>
        <w:rPr>
          <w:rFonts w:ascii="Palatino Linotype" w:hAnsi="Palatino Linotype"/>
        </w:rPr>
        <w:t xml:space="preserve">Derivado de lo anterior, en la Resolución se llega a la conclusión </w:t>
      </w:r>
      <w:r w:rsidRPr="00C53DFD">
        <w:rPr>
          <w:rFonts w:ascii="Palatino Linotype" w:eastAsia="Times New Roman" w:hAnsi="Palatino Linotype" w:cs="Times New Roman"/>
          <w:lang w:eastAsia="es-MX"/>
        </w:rPr>
        <w:t xml:space="preserve">de </w:t>
      </w:r>
      <w:r w:rsidR="00CD1AAC">
        <w:rPr>
          <w:rFonts w:ascii="Palatino Linotype" w:eastAsia="Times New Roman" w:hAnsi="Palatino Linotype" w:cs="Times New Roman"/>
          <w:lang w:eastAsia="es-MX"/>
        </w:rPr>
        <w:t xml:space="preserve">que </w:t>
      </w:r>
      <w:r w:rsidRPr="00C53DFD">
        <w:rPr>
          <w:rFonts w:ascii="Palatino Linotype" w:eastAsia="Times New Roman" w:hAnsi="Palatino Linotype" w:cs="Times New Roman"/>
          <w:lang w:eastAsia="es-MX"/>
        </w:rPr>
        <w:t>no es procedente clasific</w:t>
      </w:r>
      <w:r>
        <w:rPr>
          <w:rFonts w:ascii="Palatino Linotype" w:eastAsia="Times New Roman" w:hAnsi="Palatino Linotype" w:cs="Times New Roman"/>
          <w:lang w:eastAsia="es-MX"/>
        </w:rPr>
        <w:t xml:space="preserve">ar esta información y </w:t>
      </w:r>
      <w:r w:rsidRPr="00C53DFD">
        <w:rPr>
          <w:rFonts w:ascii="Palatino Linotype" w:eastAsia="Times New Roman" w:hAnsi="Palatino Linotype" w:cs="Times New Roman"/>
          <w:lang w:eastAsia="es-MX"/>
        </w:rPr>
        <w:t>es dable ordenar el parte de novedades de los operativos realizados en el t</w:t>
      </w:r>
      <w:r w:rsidRPr="00C53DFD">
        <w:rPr>
          <w:rFonts w:ascii="Palatino Linotype" w:hAnsi="Palatino Linotype"/>
        </w:rPr>
        <w:t>ianguis del trueque del 15 de julio al 25 de septiembre de 2018</w:t>
      </w:r>
      <w:r w:rsidRPr="00C53DFD">
        <w:rPr>
          <w:rFonts w:ascii="Palatino Linotype" w:eastAsia="Times New Roman" w:hAnsi="Palatino Linotype" w:cs="Times New Roman"/>
          <w:lang w:eastAsia="es-MX"/>
        </w:rPr>
        <w:t xml:space="preserve"> en versión pública</w:t>
      </w:r>
      <w:r w:rsidR="001B7BBD">
        <w:rPr>
          <w:rFonts w:ascii="Palatino Linotype" w:eastAsia="Times New Roman" w:hAnsi="Palatino Linotype" w:cs="Times New Roman"/>
          <w:lang w:eastAsia="es-MX"/>
        </w:rPr>
        <w:t>, en términos del Considerando Quinto.</w:t>
      </w:r>
    </w:p>
    <w:p w:rsidR="001B7BBD" w:rsidRDefault="001B7BBD" w:rsidP="007954A5">
      <w:pPr>
        <w:spacing w:after="0" w:line="360" w:lineRule="auto"/>
        <w:jc w:val="both"/>
        <w:rPr>
          <w:rFonts w:ascii="Palatino Linotype" w:eastAsia="Times New Roman" w:hAnsi="Palatino Linotype" w:cs="Times New Roman"/>
          <w:lang w:eastAsia="es-MX"/>
        </w:rPr>
      </w:pPr>
    </w:p>
    <w:p w:rsidR="001B7BBD" w:rsidRDefault="001B7BBD" w:rsidP="009F3890">
      <w:pPr>
        <w:spacing w:after="0" w:line="360" w:lineRule="aut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En este sentido, </w:t>
      </w:r>
      <w:r w:rsidR="00DD0C23">
        <w:rPr>
          <w:rFonts w:ascii="Palatino Linotype" w:eastAsia="Times New Roman" w:hAnsi="Palatino Linotype" w:cs="Times New Roman"/>
          <w:lang w:eastAsia="es-MX"/>
        </w:rPr>
        <w:t xml:space="preserve">considero que si bien es dable la elaboración de la versión pública del parte de novedades para su estrega al solicitante, en la sustanciación del asunto debió realizarse un análisis específico y exhaustivo del tema previo a concluir que el referido documento no es susceptible de reservarse, </w:t>
      </w:r>
      <w:r w:rsidR="00CD1AAC">
        <w:rPr>
          <w:rFonts w:ascii="Palatino Linotype" w:eastAsia="Times New Roman" w:hAnsi="Palatino Linotype" w:cs="Times New Roman"/>
          <w:lang w:eastAsia="es-MX"/>
        </w:rPr>
        <w:t xml:space="preserve">pues </w:t>
      </w:r>
      <w:r w:rsidR="00DD0C23">
        <w:rPr>
          <w:rFonts w:ascii="Palatino Linotype" w:eastAsia="Times New Roman" w:hAnsi="Palatino Linotype" w:cs="Times New Roman"/>
          <w:lang w:eastAsia="es-MX"/>
        </w:rPr>
        <w:t xml:space="preserve">no basta sólo con un pronunciamiento simple basado en </w:t>
      </w:r>
      <w:r w:rsidR="00DD0C23">
        <w:rPr>
          <w:rFonts w:ascii="Palatino Linotype" w:eastAsia="Times New Roman" w:hAnsi="Palatino Linotype" w:cs="Times New Roman"/>
          <w:lang w:eastAsia="es-MX"/>
        </w:rPr>
        <w:lastRenderedPageBreak/>
        <w:t>la obligación legal del Sujeto Obligado de generar el documento en cita, sino que debió acreditarse mediante el análisis y aplicación de la prueba de daño establecida en el artículo</w:t>
      </w:r>
      <w:r w:rsidR="009F3890">
        <w:rPr>
          <w:rFonts w:ascii="Palatino Linotype" w:eastAsia="Times New Roman" w:hAnsi="Palatino Linotype" w:cs="Times New Roman"/>
          <w:lang w:eastAsia="es-MX"/>
        </w:rPr>
        <w:t xml:space="preserve"> 129, </w:t>
      </w:r>
      <w:r w:rsidR="00DD0C23">
        <w:rPr>
          <w:rFonts w:ascii="Palatino Linotype" w:eastAsia="Times New Roman" w:hAnsi="Palatino Linotype" w:cs="Times New Roman"/>
          <w:lang w:eastAsia="es-MX"/>
        </w:rPr>
        <w:t>de la Ley de Transparencia y Acceso a la Información Pública del Estado de México y Municipios, que el contenido del parte de novedades no cumple</w:t>
      </w:r>
      <w:r w:rsidR="00CD1AAC">
        <w:rPr>
          <w:rFonts w:ascii="Palatino Linotype" w:eastAsia="Times New Roman" w:hAnsi="Palatino Linotype" w:cs="Times New Roman"/>
          <w:lang w:eastAsia="es-MX"/>
        </w:rPr>
        <w:t xml:space="preserve"> con</w:t>
      </w:r>
      <w:r w:rsidR="00DD0C23">
        <w:rPr>
          <w:rFonts w:ascii="Palatino Linotype" w:eastAsia="Times New Roman" w:hAnsi="Palatino Linotype" w:cs="Times New Roman"/>
          <w:lang w:eastAsia="es-MX"/>
        </w:rPr>
        <w:t xml:space="preserve"> las características para ser considerado como información reservada en término</w:t>
      </w:r>
      <w:r w:rsidR="009F3890">
        <w:rPr>
          <w:rFonts w:ascii="Palatino Linotype" w:eastAsia="Times New Roman" w:hAnsi="Palatino Linotype" w:cs="Times New Roman"/>
          <w:lang w:eastAsia="es-MX"/>
        </w:rPr>
        <w:t xml:space="preserve">s de los </w:t>
      </w:r>
      <w:r w:rsidR="009F3890" w:rsidRPr="009F3890">
        <w:rPr>
          <w:rFonts w:ascii="Palatino Linotype" w:eastAsia="Times New Roman" w:hAnsi="Palatino Linotype" w:cs="Times New Roman"/>
          <w:i/>
          <w:lang w:eastAsia="es-MX"/>
        </w:rPr>
        <w:t>Lineamientos Generales</w:t>
      </w:r>
      <w:r w:rsidR="009F3890" w:rsidRPr="009F3890">
        <w:rPr>
          <w:rFonts w:ascii="Palatino Linotype" w:eastAsia="Times New Roman" w:hAnsi="Palatino Linotype" w:cs="Times New Roman"/>
          <w:i/>
          <w:lang w:val="es-MX" w:eastAsia="es-MX"/>
        </w:rPr>
        <w:t xml:space="preserve"> </w:t>
      </w:r>
      <w:r w:rsidR="009F3890" w:rsidRPr="009F3890">
        <w:rPr>
          <w:rFonts w:ascii="Palatino Linotype" w:eastAsia="Times New Roman" w:hAnsi="Palatino Linotype" w:cs="Times New Roman"/>
          <w:bCs/>
          <w:i/>
          <w:lang w:val="es-MX" w:eastAsia="es-MX"/>
        </w:rPr>
        <w:t>en Materia de Clasificación y Desclasificación de la Información, así como para la Elaboración de Versiones Públicas</w:t>
      </w:r>
      <w:r w:rsidR="009F3890">
        <w:rPr>
          <w:rFonts w:ascii="Palatino Linotype" w:eastAsia="Times New Roman" w:hAnsi="Palatino Linotype" w:cs="Times New Roman"/>
          <w:lang w:eastAsia="es-MX"/>
        </w:rPr>
        <w:t>;</w:t>
      </w:r>
      <w:r w:rsidR="00DD0C23">
        <w:rPr>
          <w:rFonts w:ascii="Palatino Linotype" w:eastAsia="Times New Roman" w:hAnsi="Palatino Linotype" w:cs="Times New Roman"/>
          <w:lang w:eastAsia="es-MX"/>
        </w:rPr>
        <w:t xml:space="preserve"> así como acreditar fehacientemente la no actualización de alguno de los supuestos de clasificación establecidos en el art</w:t>
      </w:r>
      <w:r w:rsidR="009F3890">
        <w:rPr>
          <w:rFonts w:ascii="Palatino Linotype" w:eastAsia="Times New Roman" w:hAnsi="Palatino Linotype" w:cs="Times New Roman"/>
          <w:lang w:eastAsia="es-MX"/>
        </w:rPr>
        <w:t xml:space="preserve">ículo 140, de la ley de la materia, específicamente los relacionados con las actividades en materia de seguridad pública, persecución de los delitos, procesos de investigación o pongan en riesgo la </w:t>
      </w:r>
      <w:r w:rsidR="009F3890" w:rsidRPr="009F3890">
        <w:rPr>
          <w:rFonts w:ascii="Palatino Linotype" w:eastAsia="Times New Roman" w:hAnsi="Palatino Linotype" w:cs="Times New Roman"/>
          <w:lang w:eastAsia="es-MX"/>
        </w:rPr>
        <w:t>vida, la seguridad o la salud de una persona física</w:t>
      </w:r>
      <w:r w:rsidR="009F3890">
        <w:rPr>
          <w:rFonts w:ascii="Palatino Linotype" w:eastAsia="Times New Roman" w:hAnsi="Palatino Linotype" w:cs="Times New Roman"/>
          <w:lang w:eastAsia="es-MX"/>
        </w:rPr>
        <w:t>.</w:t>
      </w:r>
    </w:p>
    <w:p w:rsidR="00CD1AAC" w:rsidRDefault="00CD1AAC" w:rsidP="009F3890">
      <w:pPr>
        <w:spacing w:after="0" w:line="360" w:lineRule="auto"/>
        <w:jc w:val="both"/>
        <w:rPr>
          <w:rFonts w:ascii="Palatino Linotype" w:eastAsia="Times New Roman" w:hAnsi="Palatino Linotype" w:cs="Times New Roman"/>
          <w:lang w:eastAsia="es-MX"/>
        </w:rPr>
      </w:pPr>
    </w:p>
    <w:p w:rsidR="00CD1AAC" w:rsidRPr="00146A7E" w:rsidRDefault="00CD1AAC" w:rsidP="009F3890">
      <w:pPr>
        <w:spacing w:after="0" w:line="360" w:lineRule="auto"/>
        <w:jc w:val="both"/>
        <w:rPr>
          <w:rFonts w:ascii="Palatino Linotype" w:hAnsi="Palatino Linotype" w:cs="Tahoma"/>
        </w:rPr>
      </w:pPr>
      <w:r>
        <w:rPr>
          <w:rFonts w:ascii="Palatino Linotype" w:eastAsia="Times New Roman" w:hAnsi="Palatino Linotype" w:cs="Times New Roman"/>
          <w:lang w:eastAsia="es-MX"/>
        </w:rPr>
        <w:t>En efecto, debió abordarse de manera particular qué tipo de datos contenidos en el parte de novedades  constituye información reservada, así como la clasificación de la información confidencial contenida en los mismos, de manera particular, los datos personales en términos del artículo 143, fracción I, de la Ley de Transparencia y Acceso a la Información Pública del Estado de México y Municipios.</w:t>
      </w:r>
    </w:p>
    <w:p w:rsidR="00BB33E4" w:rsidRDefault="00BB33E4" w:rsidP="007954A5">
      <w:pPr>
        <w:spacing w:after="0" w:line="360" w:lineRule="auto"/>
        <w:jc w:val="both"/>
        <w:rPr>
          <w:rFonts w:ascii="Palatino Linotype" w:hAnsi="Palatino Linotype" w:cs="Tahoma"/>
        </w:rPr>
      </w:pPr>
    </w:p>
    <w:p w:rsidR="00916C78" w:rsidRDefault="009F3890" w:rsidP="007954A5">
      <w:pPr>
        <w:spacing w:after="0" w:line="360" w:lineRule="auto"/>
        <w:jc w:val="both"/>
        <w:rPr>
          <w:rFonts w:ascii="Palatino Linotype" w:hAnsi="Palatino Linotype" w:cs="Tahoma"/>
          <w:lang w:val="es-ES_tradnl"/>
        </w:rPr>
      </w:pPr>
      <w:r>
        <w:rPr>
          <w:rFonts w:ascii="Palatino Linotype" w:hAnsi="Palatino Linotype" w:cs="Tahoma"/>
        </w:rPr>
        <w:t xml:space="preserve">Ahora bien, por cuanto hace al periodo de búsqueda para la entrega de los </w:t>
      </w:r>
      <w:r w:rsidRPr="001B7BBD">
        <w:rPr>
          <w:rFonts w:ascii="Palatino Linotype" w:hAnsi="Palatino Linotype" w:cs="Tahoma"/>
        </w:rPr>
        <w:t>documentos en donde se advierta la acreditación de los integrantes del Consejo Municipal Indígena del Trueque del Municipio Tianguistenco</w:t>
      </w:r>
      <w:r>
        <w:rPr>
          <w:rFonts w:ascii="Palatino Linotype" w:hAnsi="Palatino Linotype" w:cs="Tahoma"/>
        </w:rPr>
        <w:t>, no se comparte el criterio de que el Sujeto Obligado deba indagar en sus a</w:t>
      </w:r>
      <w:r w:rsidR="00847392">
        <w:rPr>
          <w:rFonts w:ascii="Palatino Linotype" w:hAnsi="Palatino Linotype" w:cs="Tahoma"/>
        </w:rPr>
        <w:t xml:space="preserve">rchivos de un año anterior a aquella en la que se presume tuvo lugar el evento de interés del solicitante, ello en razón de que el propio Particular fue claro en señalar que requiere las </w:t>
      </w:r>
      <w:r w:rsidR="00847392" w:rsidRPr="00847392">
        <w:rPr>
          <w:rFonts w:ascii="Palatino Linotype" w:hAnsi="Palatino Linotype" w:cs="Tahoma"/>
          <w:b/>
        </w:rPr>
        <w:t xml:space="preserve">fotografías </w:t>
      </w:r>
      <w:r w:rsidR="00847392" w:rsidRPr="00847392">
        <w:rPr>
          <w:rFonts w:ascii="Palatino Linotype" w:hAnsi="Palatino Linotype" w:cs="Tahoma"/>
          <w:b/>
          <w:lang w:val="es-ES_tradnl"/>
        </w:rPr>
        <w:t>informes, reportes o cualquier otro</w:t>
      </w:r>
      <w:r w:rsidR="00847392" w:rsidRPr="00847392">
        <w:rPr>
          <w:rFonts w:ascii="Palatino Linotype" w:hAnsi="Palatino Linotype" w:cs="Tahoma"/>
          <w:lang w:val="es-ES_tradnl"/>
        </w:rPr>
        <w:t xml:space="preserve"> generado, administrado o con el que cuente el Ayuntamiento que contenga información con relación </w:t>
      </w:r>
      <w:r w:rsidR="00847392" w:rsidRPr="00847392">
        <w:rPr>
          <w:rFonts w:ascii="Palatino Linotype" w:hAnsi="Palatino Linotype" w:cs="Tahoma"/>
          <w:lang w:val="es-ES_tradnl"/>
        </w:rPr>
        <w:lastRenderedPageBreak/>
        <w:t xml:space="preserve">al </w:t>
      </w:r>
      <w:r w:rsidR="00847392" w:rsidRPr="00847392">
        <w:rPr>
          <w:rFonts w:ascii="Palatino Linotype" w:hAnsi="Palatino Linotype" w:cs="Tahoma"/>
          <w:b/>
          <w:lang w:val="es-ES_tradnl"/>
        </w:rPr>
        <w:t>evento público</w:t>
      </w:r>
      <w:r w:rsidR="00847392" w:rsidRPr="00847392">
        <w:rPr>
          <w:rFonts w:ascii="Palatino Linotype" w:hAnsi="Palatino Linotype" w:cs="Tahoma"/>
          <w:lang w:val="es-ES_tradnl"/>
        </w:rPr>
        <w:t xml:space="preserve"> </w:t>
      </w:r>
      <w:r w:rsidR="00847392" w:rsidRPr="00847392">
        <w:rPr>
          <w:rFonts w:ascii="Palatino Linotype" w:hAnsi="Palatino Linotype" w:cs="Tahoma"/>
          <w:b/>
          <w:lang w:val="es-ES_tradnl"/>
        </w:rPr>
        <w:t xml:space="preserve">realizado el </w:t>
      </w:r>
      <w:r w:rsidR="00847392" w:rsidRPr="00847392">
        <w:rPr>
          <w:rFonts w:ascii="Palatino Linotype" w:hAnsi="Palatino Linotype" w:cs="Tahoma"/>
          <w:lang w:val="es-ES_tradnl"/>
        </w:rPr>
        <w:t xml:space="preserve">día </w:t>
      </w:r>
      <w:r w:rsidR="00847392" w:rsidRPr="00847392">
        <w:rPr>
          <w:rFonts w:ascii="Palatino Linotype" w:hAnsi="Palatino Linotype" w:cs="Tahoma"/>
          <w:b/>
          <w:u w:val="single"/>
          <w:lang w:val="es-ES_tradnl"/>
        </w:rPr>
        <w:t>26 de septiembre de 2017</w:t>
      </w:r>
      <w:r w:rsidR="00847392" w:rsidRPr="00847392">
        <w:rPr>
          <w:rFonts w:ascii="Palatino Linotype" w:hAnsi="Palatino Linotype" w:cs="Tahoma"/>
          <w:lang w:val="es-ES_tradnl"/>
        </w:rPr>
        <w:t xml:space="preserve"> </w:t>
      </w:r>
      <w:r w:rsidR="00847392" w:rsidRPr="00847392">
        <w:rPr>
          <w:rFonts w:ascii="Palatino Linotype" w:hAnsi="Palatino Linotype" w:cs="Tahoma"/>
          <w:b/>
          <w:lang w:val="es-ES_tradnl"/>
        </w:rPr>
        <w:t>en el que se acreditó a los integrantes del Consejo Indígena del Trueque</w:t>
      </w:r>
      <w:r w:rsidR="00847392">
        <w:rPr>
          <w:rFonts w:ascii="Palatino Linotype" w:hAnsi="Palatino Linotype" w:cs="Tahoma"/>
          <w:lang w:val="es-ES_tradnl"/>
        </w:rPr>
        <w:t>.</w:t>
      </w:r>
    </w:p>
    <w:p w:rsidR="00847392" w:rsidRDefault="00847392" w:rsidP="007954A5">
      <w:pPr>
        <w:spacing w:after="0" w:line="360" w:lineRule="auto"/>
        <w:jc w:val="both"/>
        <w:rPr>
          <w:rFonts w:ascii="Palatino Linotype" w:hAnsi="Palatino Linotype" w:cs="Tahoma"/>
          <w:lang w:val="es-ES_tradnl"/>
        </w:rPr>
      </w:pPr>
    </w:p>
    <w:p w:rsidR="00DC25DE" w:rsidRDefault="00847392" w:rsidP="00847392">
      <w:pPr>
        <w:spacing w:after="0" w:line="360" w:lineRule="auto"/>
        <w:jc w:val="both"/>
        <w:rPr>
          <w:rFonts w:ascii="Palatino Linotype" w:hAnsi="Palatino Linotype" w:cs="Tahoma"/>
        </w:rPr>
      </w:pPr>
      <w:r>
        <w:rPr>
          <w:rFonts w:ascii="Palatino Linotype" w:hAnsi="Palatino Linotype" w:cs="Tahoma"/>
          <w:lang w:val="es-ES_tradnl"/>
        </w:rPr>
        <w:t xml:space="preserve">Por </w:t>
      </w:r>
      <w:r w:rsidR="00975E6D">
        <w:rPr>
          <w:rFonts w:ascii="Palatino Linotype" w:hAnsi="Palatino Linotype" w:cs="Tahoma"/>
          <w:lang w:val="es-ES_tradnl"/>
        </w:rPr>
        <w:t>ello</w:t>
      </w:r>
      <w:r>
        <w:rPr>
          <w:rFonts w:ascii="Palatino Linotype" w:hAnsi="Palatino Linotype" w:cs="Tahoma"/>
          <w:lang w:val="es-ES_tradnl"/>
        </w:rPr>
        <w:t xml:space="preserve">, </w:t>
      </w:r>
      <w:r w:rsidR="006E6965">
        <w:rPr>
          <w:rFonts w:ascii="Palatino Linotype" w:hAnsi="Palatino Linotype" w:cs="Tahoma"/>
        </w:rPr>
        <w:t xml:space="preserve">considero que </w:t>
      </w:r>
      <w:r>
        <w:rPr>
          <w:rFonts w:ascii="Palatino Linotype" w:hAnsi="Palatino Linotype" w:cs="Tahoma"/>
        </w:rPr>
        <w:t>bastaba con</w:t>
      </w:r>
      <w:r w:rsidR="006E6965">
        <w:rPr>
          <w:rFonts w:ascii="Palatino Linotype" w:hAnsi="Palatino Linotype" w:cs="Tahoma"/>
        </w:rPr>
        <w:t xml:space="preserve"> ordenar al Sujeto Obligado </w:t>
      </w:r>
      <w:r>
        <w:rPr>
          <w:rFonts w:ascii="Palatino Linotype" w:hAnsi="Palatino Linotype" w:cs="Tahoma"/>
        </w:rPr>
        <w:t xml:space="preserve">realizar una búsqueda exhaustiva y razonable en sus archivos </w:t>
      </w:r>
      <w:r w:rsidR="00975E6D">
        <w:rPr>
          <w:rFonts w:ascii="Palatino Linotype" w:hAnsi="Palatino Linotype" w:cs="Tahoma"/>
        </w:rPr>
        <w:t>e instruir la entrega de la información solicitada, toda vez que el propio Particular precisó la fecha del evento y</w:t>
      </w:r>
      <w:r>
        <w:rPr>
          <w:rFonts w:ascii="Palatino Linotype" w:hAnsi="Palatino Linotype" w:cs="Tahoma"/>
        </w:rPr>
        <w:t>, en el supuesto de cuente con la información, otorgue acceso a la misma,</w:t>
      </w:r>
      <w:r w:rsidR="00975E6D">
        <w:rPr>
          <w:rFonts w:ascii="Palatino Linotype" w:hAnsi="Palatino Linotype" w:cs="Tahoma"/>
        </w:rPr>
        <w:t xml:space="preserve"> en su caso, en versión pública. Para </w:t>
      </w:r>
      <w:r>
        <w:rPr>
          <w:rFonts w:ascii="Palatino Linotype" w:hAnsi="Palatino Linotype" w:cs="Tahoma"/>
        </w:rPr>
        <w:t>el supuesto de contar</w:t>
      </w:r>
      <w:r w:rsidR="00975E6D">
        <w:rPr>
          <w:rFonts w:ascii="Palatino Linotype" w:hAnsi="Palatino Linotype" w:cs="Tahoma"/>
        </w:rPr>
        <w:t xml:space="preserve"> con la información por</w:t>
      </w:r>
      <w:r>
        <w:rPr>
          <w:rFonts w:ascii="Palatino Linotype" w:hAnsi="Palatino Linotype" w:cs="Tahoma"/>
        </w:rPr>
        <w:t xml:space="preserve"> no haber</w:t>
      </w:r>
      <w:r w:rsidR="00975E6D">
        <w:rPr>
          <w:rFonts w:ascii="Palatino Linotype" w:hAnsi="Palatino Linotype" w:cs="Tahoma"/>
        </w:rPr>
        <w:t>la</w:t>
      </w:r>
      <w:r>
        <w:rPr>
          <w:rFonts w:ascii="Palatino Linotype" w:hAnsi="Palatino Linotype" w:cs="Tahoma"/>
        </w:rPr>
        <w:t xml:space="preserve"> generado, poseído o resguardado la documentación, se pronunciara en términos del artículo 19 de la  </w:t>
      </w:r>
      <w:r>
        <w:rPr>
          <w:rFonts w:ascii="Palatino Linotype" w:eastAsia="Times New Roman" w:hAnsi="Palatino Linotype" w:cs="Times New Roman"/>
          <w:lang w:eastAsia="es-MX"/>
        </w:rPr>
        <w:t>Ley de Transparencia y Acceso a la Información Pública del Estado de México y Municipios.</w:t>
      </w:r>
    </w:p>
    <w:p w:rsidR="00DC25DE" w:rsidRDefault="00DC25DE"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con base en los razonamientos expuestos, </w:t>
      </w:r>
      <w:r w:rsidRPr="0086155F">
        <w:rPr>
          <w:rFonts w:ascii="Palatino Linotype" w:hAnsi="Palatino Linotype" w:cs="Tahoma"/>
          <w:b/>
        </w:rPr>
        <w:t>se emite el presente Voto Particular</w:t>
      </w:r>
      <w:r w:rsidRPr="0086155F">
        <w:rPr>
          <w:rFonts w:ascii="Palatino Linotype" w:hAnsi="Palatino Linotype" w:cs="Tahoma"/>
        </w:rPr>
        <w:t>.</w:t>
      </w:r>
    </w:p>
    <w:p w:rsidR="00553ADE" w:rsidRPr="0086155F" w:rsidRDefault="00553ADE" w:rsidP="00E826AD">
      <w:pPr>
        <w:spacing w:after="0" w:line="360" w:lineRule="auto"/>
        <w:jc w:val="both"/>
        <w:rPr>
          <w:rFonts w:ascii="Palatino Linotype" w:hAnsi="Palatino Linotype" w:cs="Tahoma"/>
        </w:rPr>
      </w:pP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Luis Gustavo Parra Noriega</w:t>
      </w:r>
    </w:p>
    <w:p w:rsidR="003512C9" w:rsidRDefault="00553ADE" w:rsidP="00E826AD">
      <w:pPr>
        <w:spacing w:after="0" w:line="360" w:lineRule="auto"/>
        <w:jc w:val="center"/>
        <w:rPr>
          <w:rFonts w:ascii="Palatino Linotype" w:hAnsi="Palatino Linotype" w:cs="Tahoma"/>
        </w:rPr>
      </w:pPr>
      <w:r w:rsidRPr="0086155F">
        <w:rPr>
          <w:rFonts w:ascii="Palatino Linotype" w:hAnsi="Palatino Linotype" w:cs="Tahoma"/>
        </w:rPr>
        <w:t>Comisionado</w:t>
      </w:r>
    </w:p>
    <w:p w:rsidR="009B11EE" w:rsidRPr="0086155F" w:rsidRDefault="009B11EE" w:rsidP="009B11EE">
      <w:pPr>
        <w:spacing w:after="0" w:line="360" w:lineRule="auto"/>
        <w:jc w:val="center"/>
        <w:rPr>
          <w:rFonts w:ascii="Palatino Linotype" w:hAnsi="Palatino Linotype" w:cs="Tahoma"/>
          <w:b/>
        </w:rPr>
      </w:pPr>
      <w:r w:rsidRPr="0086155F">
        <w:rPr>
          <w:rFonts w:ascii="Palatino Linotype" w:hAnsi="Palatino Linotype" w:cs="Tahoma"/>
          <w:b/>
        </w:rPr>
        <w:t>(Rúbrica)</w:t>
      </w:r>
    </w:p>
    <w:p w:rsidR="009B11EE" w:rsidRPr="0086155F" w:rsidRDefault="009B11EE" w:rsidP="00E826AD">
      <w:pPr>
        <w:spacing w:after="0" w:line="360" w:lineRule="auto"/>
        <w:jc w:val="center"/>
        <w:rPr>
          <w:rFonts w:ascii="Palatino Linotype" w:hAnsi="Palatino Linotype" w:cs="Tahoma"/>
        </w:rPr>
      </w:pPr>
      <w:bookmarkStart w:id="0" w:name="_GoBack"/>
      <w:bookmarkEnd w:id="0"/>
    </w:p>
    <w:sectPr w:rsidR="009B11EE" w:rsidRPr="0086155F"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B37" w:rsidRDefault="004C2B37" w:rsidP="00EE29F6">
      <w:pPr>
        <w:spacing w:after="0" w:line="240" w:lineRule="auto"/>
      </w:pPr>
      <w:r>
        <w:separator/>
      </w:r>
    </w:p>
  </w:endnote>
  <w:endnote w:type="continuationSeparator" w:id="0">
    <w:p w:rsidR="004C2B37" w:rsidRDefault="004C2B3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9B11EE">
              <w:rPr>
                <w:b/>
                <w:bCs/>
                <w:noProof/>
              </w:rPr>
              <w:t>5</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9B11EE">
              <w:rPr>
                <w:b/>
                <w:bCs/>
                <w:noProof/>
              </w:rPr>
              <w:t>6</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B37" w:rsidRDefault="004C2B37" w:rsidP="00EE29F6">
      <w:pPr>
        <w:spacing w:after="0" w:line="240" w:lineRule="auto"/>
      </w:pPr>
      <w:r>
        <w:separator/>
      </w:r>
    </w:p>
  </w:footnote>
  <w:footnote w:type="continuationSeparator" w:id="0">
    <w:p w:rsidR="004C2B37" w:rsidRDefault="004C2B3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552"/>
      <w:gridCol w:w="3544"/>
    </w:tblGrid>
    <w:tr w:rsidR="006C2224" w:rsidRPr="001106EA" w:rsidTr="00EF1351">
      <w:trPr>
        <w:trHeight w:val="268"/>
      </w:trPr>
      <w:tc>
        <w:tcPr>
          <w:tcW w:w="2977" w:type="dxa"/>
          <w:vMerge w:val="restart"/>
          <w:vAlign w:val="bottom"/>
        </w:tcPr>
        <w:p w:rsidR="006C2224" w:rsidRDefault="006C2224" w:rsidP="00EF1351">
          <w:pPr>
            <w:pStyle w:val="Encabezado"/>
            <w:tabs>
              <w:tab w:val="clear" w:pos="4252"/>
              <w:tab w:val="center" w:pos="2614"/>
            </w:tabs>
            <w:ind w:left="-250"/>
          </w:pPr>
          <w:r>
            <w:rPr>
              <w:noProof/>
              <w:sz w:val="10"/>
              <w:szCs w:val="10"/>
              <w:lang w:val="es-MX" w:eastAsia="es-MX"/>
            </w:rPr>
            <w:drawing>
              <wp:inline distT="0" distB="0" distL="0" distR="0" wp14:anchorId="75A24F2F" wp14:editId="6EC4B834">
                <wp:extent cx="1781175" cy="1125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863" cy="1128818"/>
                        </a:xfrm>
                        <a:prstGeom prst="rect">
                          <a:avLst/>
                        </a:prstGeom>
                      </pic:spPr>
                    </pic:pic>
                  </a:graphicData>
                </a:graphic>
              </wp:inline>
            </w:drawing>
          </w:r>
        </w:p>
        <w:p w:rsidR="006C2224" w:rsidRDefault="006C2224" w:rsidP="006C2224">
          <w:pPr>
            <w:pStyle w:val="Encabezado"/>
            <w:tabs>
              <w:tab w:val="clear" w:pos="4252"/>
              <w:tab w:val="center" w:pos="2614"/>
            </w:tabs>
          </w:pPr>
        </w:p>
      </w:tc>
      <w:tc>
        <w:tcPr>
          <w:tcW w:w="2552" w:type="dxa"/>
          <w:vAlign w:val="center"/>
        </w:tcPr>
        <w:p w:rsidR="006C2224" w:rsidRDefault="006C2224" w:rsidP="006C2224">
          <w:pPr>
            <w:pStyle w:val="Encabezado"/>
            <w:jc w:val="both"/>
            <w:rPr>
              <w:rFonts w:ascii="Palatino Linotype" w:hAnsi="Palatino Linotype" w:cs="Tahoma"/>
              <w:b/>
            </w:rPr>
          </w:pPr>
        </w:p>
        <w:p w:rsidR="00EF1351" w:rsidRDefault="00EF1351" w:rsidP="006C2224">
          <w:pPr>
            <w:pStyle w:val="Encabezado"/>
            <w:jc w:val="both"/>
            <w:rPr>
              <w:rFonts w:ascii="Palatino Linotype" w:hAnsi="Palatino Linotype" w:cs="Tahoma"/>
              <w:b/>
            </w:rPr>
          </w:pPr>
        </w:p>
        <w:p w:rsidR="006C2224" w:rsidRPr="006C2224" w:rsidRDefault="006C2224" w:rsidP="006C2224">
          <w:pPr>
            <w:pStyle w:val="Encabezado"/>
            <w:jc w:val="both"/>
            <w:rPr>
              <w:rFonts w:ascii="Palatino Linotype" w:hAnsi="Palatino Linotype" w:cs="Tahoma"/>
              <w:b/>
            </w:rPr>
          </w:pPr>
          <w:r w:rsidRPr="0086155F">
            <w:rPr>
              <w:rFonts w:ascii="Palatino Linotype" w:hAnsi="Palatino Linotype" w:cs="Tahoma"/>
              <w:b/>
            </w:rPr>
            <w:t>Voto Particular</w:t>
          </w:r>
        </w:p>
      </w:tc>
      <w:tc>
        <w:tcPr>
          <w:tcW w:w="3544" w:type="dxa"/>
        </w:tcPr>
        <w:p w:rsidR="006C2224" w:rsidRPr="001106EA" w:rsidRDefault="006C2224" w:rsidP="006C2224">
          <w:pPr>
            <w:pStyle w:val="Encabezado"/>
            <w:jc w:val="both"/>
            <w:rPr>
              <w:rFonts w:ascii="Tahoma" w:hAnsi="Tahoma" w:cs="Tahoma"/>
            </w:rPr>
          </w:pPr>
        </w:p>
      </w:tc>
    </w:tr>
    <w:tr w:rsidR="006C2224" w:rsidRPr="001106EA" w:rsidTr="00EF1351">
      <w:trPr>
        <w:trHeight w:val="248"/>
      </w:trPr>
      <w:tc>
        <w:tcPr>
          <w:tcW w:w="2977" w:type="dxa"/>
          <w:vMerge/>
          <w:vAlign w:val="bottom"/>
        </w:tcPr>
        <w:p w:rsidR="006C2224" w:rsidRDefault="006C2224" w:rsidP="006C2224">
          <w:pPr>
            <w:pStyle w:val="Encabezado"/>
            <w:tabs>
              <w:tab w:val="clear" w:pos="4252"/>
              <w:tab w:val="center" w:pos="2614"/>
            </w:tabs>
            <w:rPr>
              <w:noProof/>
              <w:sz w:val="10"/>
              <w:szCs w:val="10"/>
              <w:lang w:val="es-MX" w:eastAsia="es-MX"/>
            </w:rPr>
          </w:pPr>
        </w:p>
      </w:tc>
      <w:tc>
        <w:tcPr>
          <w:tcW w:w="2552" w:type="dxa"/>
          <w:vAlign w:val="center"/>
        </w:tcPr>
        <w:p w:rsidR="006C2224" w:rsidRPr="0086155F" w:rsidRDefault="006C2224" w:rsidP="006C2224">
          <w:pPr>
            <w:pStyle w:val="Encabezado"/>
            <w:jc w:val="both"/>
            <w:rPr>
              <w:rFonts w:ascii="Palatino Linotype" w:hAnsi="Palatino Linotype" w:cs="Tahoma"/>
              <w:b/>
            </w:rPr>
          </w:pPr>
          <w:r w:rsidRPr="0086155F">
            <w:rPr>
              <w:rFonts w:ascii="Palatino Linotype" w:hAnsi="Palatino Linotype" w:cs="Tahoma"/>
              <w:b/>
            </w:rPr>
            <w:t xml:space="preserve">Recurso de Revisión: </w:t>
          </w:r>
        </w:p>
      </w:tc>
      <w:tc>
        <w:tcPr>
          <w:tcW w:w="3544" w:type="dxa"/>
        </w:tcPr>
        <w:p w:rsidR="006C2224" w:rsidRDefault="006C2224" w:rsidP="006C2224">
          <w:pPr>
            <w:pStyle w:val="Encabezado"/>
            <w:jc w:val="both"/>
            <w:rPr>
              <w:rFonts w:ascii="Palatino Linotype" w:hAnsi="Palatino Linotype" w:cs="Tahoma"/>
              <w:b/>
            </w:rPr>
          </w:pPr>
          <w:r w:rsidRPr="0086155F">
            <w:rPr>
              <w:rFonts w:ascii="Palatino Linotype" w:hAnsi="Palatino Linotype" w:cs="Tahoma"/>
              <w:b/>
            </w:rPr>
            <w:t>0</w:t>
          </w:r>
          <w:r>
            <w:rPr>
              <w:rFonts w:ascii="Palatino Linotype" w:hAnsi="Palatino Linotype" w:cs="Tahoma"/>
              <w:b/>
            </w:rPr>
            <w:t>4103</w:t>
          </w:r>
          <w:r w:rsidRPr="0086155F">
            <w:rPr>
              <w:rFonts w:ascii="Palatino Linotype" w:hAnsi="Palatino Linotype" w:cs="Tahoma"/>
              <w:b/>
            </w:rPr>
            <w:t>/INFOEM/IP/RR/2018</w:t>
          </w:r>
        </w:p>
      </w:tc>
    </w:tr>
    <w:tr w:rsidR="006C2224" w:rsidRPr="001106EA" w:rsidTr="00EF1351">
      <w:trPr>
        <w:trHeight w:val="635"/>
      </w:trPr>
      <w:tc>
        <w:tcPr>
          <w:tcW w:w="2977" w:type="dxa"/>
          <w:vMerge/>
          <w:vAlign w:val="bottom"/>
        </w:tcPr>
        <w:p w:rsidR="006C2224" w:rsidRDefault="006C2224" w:rsidP="006C2224">
          <w:pPr>
            <w:pStyle w:val="Encabezado"/>
            <w:tabs>
              <w:tab w:val="clear" w:pos="4252"/>
              <w:tab w:val="center" w:pos="2614"/>
            </w:tabs>
            <w:rPr>
              <w:noProof/>
              <w:sz w:val="10"/>
              <w:szCs w:val="10"/>
              <w:lang w:val="es-MX" w:eastAsia="es-MX"/>
            </w:rPr>
          </w:pPr>
        </w:p>
      </w:tc>
      <w:tc>
        <w:tcPr>
          <w:tcW w:w="2552" w:type="dxa"/>
        </w:tcPr>
        <w:p w:rsidR="006C2224" w:rsidRPr="0086155F" w:rsidRDefault="006C2224" w:rsidP="006C2224">
          <w:pPr>
            <w:pStyle w:val="Encabezado"/>
            <w:jc w:val="both"/>
            <w:rPr>
              <w:rFonts w:ascii="Palatino Linotype" w:hAnsi="Palatino Linotype" w:cs="Tahoma"/>
              <w:b/>
            </w:rPr>
          </w:pPr>
          <w:r w:rsidRPr="0086155F">
            <w:rPr>
              <w:rFonts w:ascii="Palatino Linotype" w:hAnsi="Palatino Linotype" w:cs="Tahoma"/>
              <w:b/>
            </w:rPr>
            <w:t>Comisionado Ponente:</w:t>
          </w:r>
        </w:p>
      </w:tc>
      <w:tc>
        <w:tcPr>
          <w:tcW w:w="3544" w:type="dxa"/>
        </w:tcPr>
        <w:p w:rsidR="006C2224" w:rsidRDefault="006C2224" w:rsidP="006C2224">
          <w:pPr>
            <w:pStyle w:val="Encabezado"/>
            <w:jc w:val="both"/>
            <w:rPr>
              <w:rFonts w:ascii="Palatino Linotype" w:hAnsi="Palatino Linotype" w:cs="Tahoma"/>
              <w:b/>
            </w:rPr>
          </w:pPr>
          <w:r>
            <w:rPr>
              <w:rFonts w:ascii="Palatino Linotype" w:hAnsi="Palatino Linotype"/>
              <w:b/>
            </w:rPr>
            <w:t>José Guadalupe Luna Hernández</w:t>
          </w:r>
        </w:p>
      </w:tc>
    </w:tr>
    <w:tr w:rsidR="00847392" w:rsidRPr="001106EA" w:rsidTr="00847392">
      <w:trPr>
        <w:trHeight w:val="80"/>
      </w:trPr>
      <w:tc>
        <w:tcPr>
          <w:tcW w:w="2977" w:type="dxa"/>
          <w:vAlign w:val="bottom"/>
        </w:tcPr>
        <w:p w:rsidR="00847392" w:rsidRDefault="00847392" w:rsidP="006C2224">
          <w:pPr>
            <w:pStyle w:val="Encabezado"/>
            <w:tabs>
              <w:tab w:val="clear" w:pos="4252"/>
              <w:tab w:val="center" w:pos="2614"/>
            </w:tabs>
            <w:rPr>
              <w:noProof/>
              <w:sz w:val="10"/>
              <w:szCs w:val="10"/>
              <w:lang w:val="es-MX" w:eastAsia="es-MX"/>
            </w:rPr>
          </w:pPr>
        </w:p>
      </w:tc>
      <w:tc>
        <w:tcPr>
          <w:tcW w:w="2552" w:type="dxa"/>
        </w:tcPr>
        <w:p w:rsidR="00847392" w:rsidRPr="0086155F" w:rsidRDefault="00847392" w:rsidP="006C2224">
          <w:pPr>
            <w:pStyle w:val="Encabezado"/>
            <w:jc w:val="both"/>
            <w:rPr>
              <w:rFonts w:ascii="Palatino Linotype" w:hAnsi="Palatino Linotype" w:cs="Tahoma"/>
              <w:b/>
            </w:rPr>
          </w:pPr>
        </w:p>
      </w:tc>
      <w:tc>
        <w:tcPr>
          <w:tcW w:w="3544" w:type="dxa"/>
        </w:tcPr>
        <w:p w:rsidR="00847392" w:rsidRDefault="00847392" w:rsidP="006C2224">
          <w:pPr>
            <w:pStyle w:val="Encabezado"/>
            <w:jc w:val="both"/>
            <w:rPr>
              <w:rFonts w:ascii="Palatino Linotype" w:hAnsi="Palatino Linotype"/>
              <w:b/>
            </w:rPr>
          </w:pP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3C06CE4"/>
    <w:multiLevelType w:val="hybridMultilevel"/>
    <w:tmpl w:val="76A4CDA8"/>
    <w:lvl w:ilvl="0" w:tplc="26224392">
      <w:start w:val="1"/>
      <w:numFmt w:val="decimal"/>
      <w:lvlText w:val="%1."/>
      <w:lvlJc w:val="left"/>
      <w:pPr>
        <w:ind w:left="644" w:hanging="360"/>
      </w:pPr>
      <w:rPr>
        <w:rFonts w:ascii="Palatino Linotype" w:hAnsi="Palatino Linotype" w:hint="default"/>
        <w:b/>
        <w:i w:val="0"/>
        <w:color w:val="000000" w:themeColor="text1"/>
        <w:sz w:val="2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6"/>
  </w:num>
  <w:num w:numId="9">
    <w:abstractNumId w:val="10"/>
  </w:num>
  <w:num w:numId="10">
    <w:abstractNumId w:val="12"/>
  </w:num>
  <w:num w:numId="11">
    <w:abstractNumId w:val="13"/>
  </w:num>
  <w:num w:numId="12">
    <w:abstractNumId w:val="1"/>
  </w:num>
  <w:num w:numId="13">
    <w:abstractNumId w:val="6"/>
  </w:num>
  <w:num w:numId="14">
    <w:abstractNumId w:val="17"/>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0AAD"/>
    <w:rsid w:val="00020D08"/>
    <w:rsid w:val="0002627D"/>
    <w:rsid w:val="00026846"/>
    <w:rsid w:val="0002759D"/>
    <w:rsid w:val="000301C6"/>
    <w:rsid w:val="00031240"/>
    <w:rsid w:val="0005256C"/>
    <w:rsid w:val="00060F74"/>
    <w:rsid w:val="0006561A"/>
    <w:rsid w:val="00087AC8"/>
    <w:rsid w:val="00097988"/>
    <w:rsid w:val="000A65BC"/>
    <w:rsid w:val="000B235B"/>
    <w:rsid w:val="000B7F6F"/>
    <w:rsid w:val="000C10B7"/>
    <w:rsid w:val="000D186F"/>
    <w:rsid w:val="000F66FF"/>
    <w:rsid w:val="0010688C"/>
    <w:rsid w:val="001106EA"/>
    <w:rsid w:val="00110BC3"/>
    <w:rsid w:val="001159DC"/>
    <w:rsid w:val="00116C1F"/>
    <w:rsid w:val="00116E1A"/>
    <w:rsid w:val="00117EC4"/>
    <w:rsid w:val="001247C3"/>
    <w:rsid w:val="00136AD8"/>
    <w:rsid w:val="0014038B"/>
    <w:rsid w:val="00140A57"/>
    <w:rsid w:val="00146A7E"/>
    <w:rsid w:val="0014736A"/>
    <w:rsid w:val="0015569E"/>
    <w:rsid w:val="00162325"/>
    <w:rsid w:val="00164625"/>
    <w:rsid w:val="00164BFE"/>
    <w:rsid w:val="0018472D"/>
    <w:rsid w:val="00193AA8"/>
    <w:rsid w:val="00197A72"/>
    <w:rsid w:val="001A145C"/>
    <w:rsid w:val="001A6BD9"/>
    <w:rsid w:val="001B7BBD"/>
    <w:rsid w:val="001C1C64"/>
    <w:rsid w:val="001F12F1"/>
    <w:rsid w:val="001F667B"/>
    <w:rsid w:val="002060AD"/>
    <w:rsid w:val="00216BC4"/>
    <w:rsid w:val="00223F64"/>
    <w:rsid w:val="00231B68"/>
    <w:rsid w:val="0023224C"/>
    <w:rsid w:val="00242C75"/>
    <w:rsid w:val="00243617"/>
    <w:rsid w:val="00243A13"/>
    <w:rsid w:val="00245ACA"/>
    <w:rsid w:val="00246FAF"/>
    <w:rsid w:val="002615EE"/>
    <w:rsid w:val="0028037C"/>
    <w:rsid w:val="00280A9C"/>
    <w:rsid w:val="002816CB"/>
    <w:rsid w:val="00281C68"/>
    <w:rsid w:val="00295BA5"/>
    <w:rsid w:val="002A138B"/>
    <w:rsid w:val="002A16CE"/>
    <w:rsid w:val="002A1727"/>
    <w:rsid w:val="002A2EE7"/>
    <w:rsid w:val="002C2405"/>
    <w:rsid w:val="002C5579"/>
    <w:rsid w:val="002E5A1A"/>
    <w:rsid w:val="002F4E95"/>
    <w:rsid w:val="0031752E"/>
    <w:rsid w:val="00322675"/>
    <w:rsid w:val="00333B7A"/>
    <w:rsid w:val="00344C41"/>
    <w:rsid w:val="003512C9"/>
    <w:rsid w:val="0036006F"/>
    <w:rsid w:val="003A6218"/>
    <w:rsid w:val="003B6547"/>
    <w:rsid w:val="003B7A5E"/>
    <w:rsid w:val="003C15F3"/>
    <w:rsid w:val="003C53C5"/>
    <w:rsid w:val="003F2426"/>
    <w:rsid w:val="003F48C2"/>
    <w:rsid w:val="0040139C"/>
    <w:rsid w:val="00412CB2"/>
    <w:rsid w:val="004211BB"/>
    <w:rsid w:val="00433746"/>
    <w:rsid w:val="00434C88"/>
    <w:rsid w:val="00435E69"/>
    <w:rsid w:val="0043730D"/>
    <w:rsid w:val="00445BDF"/>
    <w:rsid w:val="00447F6F"/>
    <w:rsid w:val="0045183E"/>
    <w:rsid w:val="0047538D"/>
    <w:rsid w:val="00482081"/>
    <w:rsid w:val="00490F50"/>
    <w:rsid w:val="004A4555"/>
    <w:rsid w:val="004A555E"/>
    <w:rsid w:val="004B08C4"/>
    <w:rsid w:val="004B532B"/>
    <w:rsid w:val="004B541F"/>
    <w:rsid w:val="004C2B37"/>
    <w:rsid w:val="004C4912"/>
    <w:rsid w:val="004C6E57"/>
    <w:rsid w:val="004E7007"/>
    <w:rsid w:val="00500949"/>
    <w:rsid w:val="00524DA5"/>
    <w:rsid w:val="00526DBD"/>
    <w:rsid w:val="00543DF4"/>
    <w:rsid w:val="00544812"/>
    <w:rsid w:val="00553ADE"/>
    <w:rsid w:val="00560A41"/>
    <w:rsid w:val="0056120D"/>
    <w:rsid w:val="00576423"/>
    <w:rsid w:val="00582CCB"/>
    <w:rsid w:val="00584D73"/>
    <w:rsid w:val="0059329D"/>
    <w:rsid w:val="0059399E"/>
    <w:rsid w:val="005A2510"/>
    <w:rsid w:val="005B6967"/>
    <w:rsid w:val="005C094E"/>
    <w:rsid w:val="005C73EE"/>
    <w:rsid w:val="005C76C2"/>
    <w:rsid w:val="005D11C8"/>
    <w:rsid w:val="005D26CE"/>
    <w:rsid w:val="005E2798"/>
    <w:rsid w:val="00600164"/>
    <w:rsid w:val="00605683"/>
    <w:rsid w:val="006248F2"/>
    <w:rsid w:val="00624DE5"/>
    <w:rsid w:val="00645087"/>
    <w:rsid w:val="00654ACD"/>
    <w:rsid w:val="00657396"/>
    <w:rsid w:val="00681338"/>
    <w:rsid w:val="00682003"/>
    <w:rsid w:val="00684B16"/>
    <w:rsid w:val="006C2224"/>
    <w:rsid w:val="006E6965"/>
    <w:rsid w:val="006F5316"/>
    <w:rsid w:val="006F754E"/>
    <w:rsid w:val="0071340D"/>
    <w:rsid w:val="0072297A"/>
    <w:rsid w:val="00724F08"/>
    <w:rsid w:val="00730CD7"/>
    <w:rsid w:val="007378E2"/>
    <w:rsid w:val="00742A15"/>
    <w:rsid w:val="007468D5"/>
    <w:rsid w:val="0077694E"/>
    <w:rsid w:val="00786EA0"/>
    <w:rsid w:val="007954A5"/>
    <w:rsid w:val="00796A29"/>
    <w:rsid w:val="007A2D13"/>
    <w:rsid w:val="007C05F3"/>
    <w:rsid w:val="007D3257"/>
    <w:rsid w:val="007D68AF"/>
    <w:rsid w:val="007F1744"/>
    <w:rsid w:val="007F1C1D"/>
    <w:rsid w:val="007F7D80"/>
    <w:rsid w:val="008068A2"/>
    <w:rsid w:val="0083166F"/>
    <w:rsid w:val="00836BC2"/>
    <w:rsid w:val="00847392"/>
    <w:rsid w:val="00856E29"/>
    <w:rsid w:val="0086155F"/>
    <w:rsid w:val="00861757"/>
    <w:rsid w:val="00886EDA"/>
    <w:rsid w:val="00891412"/>
    <w:rsid w:val="008A0447"/>
    <w:rsid w:val="008A1DE1"/>
    <w:rsid w:val="008A3DA9"/>
    <w:rsid w:val="008B08C9"/>
    <w:rsid w:val="008E54E2"/>
    <w:rsid w:val="008F3B5A"/>
    <w:rsid w:val="009039FE"/>
    <w:rsid w:val="00916C78"/>
    <w:rsid w:val="00922B2E"/>
    <w:rsid w:val="00927BD1"/>
    <w:rsid w:val="0093480E"/>
    <w:rsid w:val="00950355"/>
    <w:rsid w:val="00952B06"/>
    <w:rsid w:val="00954BF1"/>
    <w:rsid w:val="00961B12"/>
    <w:rsid w:val="00962B86"/>
    <w:rsid w:val="00974836"/>
    <w:rsid w:val="00975E6D"/>
    <w:rsid w:val="009845B4"/>
    <w:rsid w:val="009943E1"/>
    <w:rsid w:val="00995450"/>
    <w:rsid w:val="009B11EE"/>
    <w:rsid w:val="009B22ED"/>
    <w:rsid w:val="009B2C0B"/>
    <w:rsid w:val="009C0313"/>
    <w:rsid w:val="009D07E2"/>
    <w:rsid w:val="009D49BE"/>
    <w:rsid w:val="009E0861"/>
    <w:rsid w:val="009E41F7"/>
    <w:rsid w:val="009E704F"/>
    <w:rsid w:val="009F3890"/>
    <w:rsid w:val="009F6E4A"/>
    <w:rsid w:val="00A364BA"/>
    <w:rsid w:val="00A5061A"/>
    <w:rsid w:val="00A5658F"/>
    <w:rsid w:val="00A67498"/>
    <w:rsid w:val="00A742D1"/>
    <w:rsid w:val="00A87924"/>
    <w:rsid w:val="00A96933"/>
    <w:rsid w:val="00AA090B"/>
    <w:rsid w:val="00AB3E26"/>
    <w:rsid w:val="00AC333A"/>
    <w:rsid w:val="00AD25D5"/>
    <w:rsid w:val="00AF3B6B"/>
    <w:rsid w:val="00B06423"/>
    <w:rsid w:val="00B068A1"/>
    <w:rsid w:val="00B263C5"/>
    <w:rsid w:val="00B67355"/>
    <w:rsid w:val="00B7393F"/>
    <w:rsid w:val="00B761B1"/>
    <w:rsid w:val="00BB32B6"/>
    <w:rsid w:val="00BB33E4"/>
    <w:rsid w:val="00BB6EE3"/>
    <w:rsid w:val="00BC4882"/>
    <w:rsid w:val="00BC55D2"/>
    <w:rsid w:val="00BD06FC"/>
    <w:rsid w:val="00BD2D9E"/>
    <w:rsid w:val="00BD4705"/>
    <w:rsid w:val="00BD5DBE"/>
    <w:rsid w:val="00BE34DF"/>
    <w:rsid w:val="00BF1384"/>
    <w:rsid w:val="00C0131C"/>
    <w:rsid w:val="00C239D2"/>
    <w:rsid w:val="00C30FD6"/>
    <w:rsid w:val="00C31FEE"/>
    <w:rsid w:val="00C55FFC"/>
    <w:rsid w:val="00C75CE0"/>
    <w:rsid w:val="00CA0ABF"/>
    <w:rsid w:val="00CA7627"/>
    <w:rsid w:val="00CC2CDC"/>
    <w:rsid w:val="00CC68E1"/>
    <w:rsid w:val="00CD1AAC"/>
    <w:rsid w:val="00CD4339"/>
    <w:rsid w:val="00CD5803"/>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C8B"/>
    <w:rsid w:val="00D75FAE"/>
    <w:rsid w:val="00D77F63"/>
    <w:rsid w:val="00D9114A"/>
    <w:rsid w:val="00D96166"/>
    <w:rsid w:val="00DA11C0"/>
    <w:rsid w:val="00DC25DE"/>
    <w:rsid w:val="00DC4A9C"/>
    <w:rsid w:val="00DC5EF2"/>
    <w:rsid w:val="00DD0C23"/>
    <w:rsid w:val="00DF6CA0"/>
    <w:rsid w:val="00E145E1"/>
    <w:rsid w:val="00E23071"/>
    <w:rsid w:val="00E26123"/>
    <w:rsid w:val="00E34559"/>
    <w:rsid w:val="00E345D1"/>
    <w:rsid w:val="00E41481"/>
    <w:rsid w:val="00E416F8"/>
    <w:rsid w:val="00E45036"/>
    <w:rsid w:val="00E656C1"/>
    <w:rsid w:val="00E7538D"/>
    <w:rsid w:val="00E800A9"/>
    <w:rsid w:val="00E826AD"/>
    <w:rsid w:val="00E82F77"/>
    <w:rsid w:val="00E83683"/>
    <w:rsid w:val="00E93689"/>
    <w:rsid w:val="00EA7E26"/>
    <w:rsid w:val="00EB7128"/>
    <w:rsid w:val="00EC6DDF"/>
    <w:rsid w:val="00EE29F6"/>
    <w:rsid w:val="00EE79AE"/>
    <w:rsid w:val="00EF1351"/>
    <w:rsid w:val="00F011F6"/>
    <w:rsid w:val="00F14384"/>
    <w:rsid w:val="00F32B83"/>
    <w:rsid w:val="00F4155E"/>
    <w:rsid w:val="00F42641"/>
    <w:rsid w:val="00F644D2"/>
    <w:rsid w:val="00FA177C"/>
    <w:rsid w:val="00FB3044"/>
    <w:rsid w:val="00FB59D6"/>
    <w:rsid w:val="00FB5C13"/>
    <w:rsid w:val="00FC1D9D"/>
    <w:rsid w:val="00FC1F32"/>
    <w:rsid w:val="00FD1849"/>
    <w:rsid w:val="00FD3150"/>
    <w:rsid w:val="00FD4FD6"/>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E1DC-B7CE-4C0C-A19A-5DBD2214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1495</Words>
  <Characters>8226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2018-10-01T19:36:00Z</cp:lastPrinted>
  <dcterms:created xsi:type="dcterms:W3CDTF">2019-01-21T18:26:00Z</dcterms:created>
  <dcterms:modified xsi:type="dcterms:W3CDTF">2019-01-21T21:50:00Z</dcterms:modified>
</cp:coreProperties>
</file>